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620" w:rsidRDefault="00681620">
      <w:pPr>
        <w:pStyle w:val="BodyText"/>
        <w:spacing w:before="9"/>
        <w:rPr>
          <w:rFonts w:ascii="Times New Roman"/>
          <w:sz w:val="17"/>
        </w:rPr>
      </w:pPr>
    </w:p>
    <w:p w:rsidR="00F07C2D" w:rsidRDefault="00F07C2D" w:rsidP="00F07C2D">
      <w:pPr>
        <w:pStyle w:val="Heading1"/>
        <w:spacing w:after="240"/>
      </w:pPr>
      <w:bookmarkStart w:id="0" w:name="City_of_Hobart"/>
      <w:bookmarkEnd w:id="0"/>
    </w:p>
    <w:p w:rsidR="00F07C2D" w:rsidRDefault="00F07C2D" w:rsidP="00F07C2D">
      <w:pPr>
        <w:pStyle w:val="Heading1"/>
        <w:spacing w:after="240"/>
      </w:pPr>
    </w:p>
    <w:p w:rsidR="00F07C2D" w:rsidRPr="00621F41" w:rsidRDefault="00F07C2D" w:rsidP="00621F41">
      <w:pPr>
        <w:pStyle w:val="Heading1"/>
        <w:spacing w:after="240"/>
        <w:ind w:left="567"/>
        <w:rPr>
          <w:rFonts w:eastAsiaTheme="majorEastAsia" w:cstheme="majorBidi"/>
          <w:b w:val="0"/>
          <w:sz w:val="36"/>
          <w:szCs w:val="28"/>
          <w:lang w:val="en-AU"/>
        </w:rPr>
      </w:pPr>
      <w:r w:rsidRPr="00621F41">
        <w:rPr>
          <w:rFonts w:eastAsiaTheme="majorEastAsia" w:cstheme="majorBidi"/>
          <w:b w:val="0"/>
          <w:sz w:val="36"/>
          <w:szCs w:val="28"/>
          <w:lang w:val="en-AU"/>
        </w:rPr>
        <w:t>City of Hobart</w:t>
      </w:r>
    </w:p>
    <w:p w:rsidR="00F07C2D" w:rsidRPr="001A1998" w:rsidRDefault="00F07C2D" w:rsidP="00F07C2D">
      <w:pPr>
        <w:pStyle w:val="Heading2"/>
        <w:pBdr>
          <w:bottom w:val="single" w:sz="4" w:space="1" w:color="auto"/>
        </w:pBdr>
        <w:spacing w:after="240"/>
        <w:ind w:left="0" w:firstLine="0"/>
      </w:pPr>
      <w:r w:rsidRPr="00F07C2D">
        <w:rPr>
          <w:rFonts w:eastAsiaTheme="majorEastAsia" w:cstheme="majorBidi"/>
          <w:sz w:val="72"/>
          <w:szCs w:val="26"/>
          <w:lang w:val="en-AU"/>
        </w:rPr>
        <w:t>Policy</w:t>
      </w:r>
    </w:p>
    <w:p w:rsidR="00681620" w:rsidRDefault="005760C9" w:rsidP="00621F41">
      <w:pPr>
        <w:pStyle w:val="Heading1"/>
        <w:spacing w:before="59"/>
        <w:ind w:left="0" w:firstLine="0"/>
      </w:pPr>
      <w:bookmarkStart w:id="1" w:name="Policy"/>
      <w:bookmarkStart w:id="2" w:name="Title:_Investment_of_Council_Funds"/>
      <w:bookmarkEnd w:id="1"/>
      <w:bookmarkEnd w:id="2"/>
      <w:r>
        <w:t>Title:</w:t>
      </w:r>
      <w:r>
        <w:tab/>
      </w:r>
      <w:r w:rsidR="00621F41">
        <w:tab/>
      </w:r>
      <w:r w:rsidR="00621F41">
        <w:tab/>
      </w:r>
      <w:r>
        <w:t>Council</w:t>
      </w:r>
      <w:r>
        <w:rPr>
          <w:spacing w:val="-12"/>
        </w:rPr>
        <w:t xml:space="preserve"> </w:t>
      </w:r>
      <w:r w:rsidR="00261F26">
        <w:rPr>
          <w:spacing w:val="-12"/>
        </w:rPr>
        <w:t>Borrowing Policy</w:t>
      </w:r>
    </w:p>
    <w:p w:rsidR="00681620" w:rsidRDefault="005760C9" w:rsidP="00621F41">
      <w:pPr>
        <w:spacing w:before="239"/>
        <w:rPr>
          <w:b/>
          <w:sz w:val="32"/>
        </w:rPr>
      </w:pPr>
      <w:bookmarkStart w:id="3" w:name="Category:_Corporate_Governance"/>
      <w:bookmarkEnd w:id="3"/>
      <w:r>
        <w:rPr>
          <w:b/>
          <w:color w:val="399AB5"/>
          <w:sz w:val="32"/>
        </w:rPr>
        <w:t>Category:</w:t>
      </w:r>
      <w:r>
        <w:rPr>
          <w:b/>
          <w:color w:val="399AB5"/>
          <w:sz w:val="32"/>
        </w:rPr>
        <w:tab/>
      </w:r>
      <w:r w:rsidR="00621F41">
        <w:rPr>
          <w:b/>
          <w:color w:val="399AB5"/>
          <w:sz w:val="32"/>
        </w:rPr>
        <w:tab/>
      </w:r>
      <w:r>
        <w:rPr>
          <w:b/>
          <w:color w:val="399AB5"/>
          <w:sz w:val="32"/>
        </w:rPr>
        <w:t>Corporate</w:t>
      </w:r>
      <w:r>
        <w:rPr>
          <w:b/>
          <w:color w:val="399AB5"/>
          <w:spacing w:val="-11"/>
          <w:sz w:val="32"/>
        </w:rPr>
        <w:t xml:space="preserve"> </w:t>
      </w:r>
      <w:r>
        <w:rPr>
          <w:b/>
          <w:color w:val="399AB5"/>
          <w:sz w:val="32"/>
        </w:rPr>
        <w:t>Governance</w:t>
      </w:r>
    </w:p>
    <w:p w:rsidR="00681620" w:rsidRDefault="005760C9" w:rsidP="00621F41">
      <w:pPr>
        <w:spacing w:before="243" w:after="22"/>
        <w:rPr>
          <w:sz w:val="28"/>
        </w:rPr>
      </w:pPr>
      <w:bookmarkStart w:id="4" w:name="Date_Last_Adopted_7_March_2016"/>
      <w:bookmarkEnd w:id="4"/>
      <w:r>
        <w:rPr>
          <w:sz w:val="28"/>
        </w:rPr>
        <w:t>Date</w:t>
      </w:r>
      <w:r>
        <w:rPr>
          <w:spacing w:val="-1"/>
          <w:sz w:val="28"/>
        </w:rPr>
        <w:t xml:space="preserve"> </w:t>
      </w:r>
      <w:r>
        <w:rPr>
          <w:sz w:val="28"/>
        </w:rPr>
        <w:t>Last</w:t>
      </w:r>
      <w:r>
        <w:rPr>
          <w:spacing w:val="-1"/>
          <w:sz w:val="28"/>
        </w:rPr>
        <w:t xml:space="preserve"> </w:t>
      </w:r>
      <w:r w:rsidRPr="002E5DA3">
        <w:rPr>
          <w:sz w:val="28"/>
        </w:rPr>
        <w:t>Adopted</w:t>
      </w:r>
      <w:r w:rsidR="00621F41">
        <w:rPr>
          <w:sz w:val="28"/>
        </w:rPr>
        <w:t>:</w:t>
      </w:r>
      <w:r w:rsidRPr="002E5DA3">
        <w:rPr>
          <w:sz w:val="28"/>
        </w:rPr>
        <w:tab/>
      </w:r>
      <w:r w:rsidR="0034184C">
        <w:rPr>
          <w:sz w:val="28"/>
        </w:rPr>
        <w:t>18 December 2017</w:t>
      </w:r>
      <w:bookmarkStart w:id="5" w:name="_GoBack"/>
      <w:bookmarkEnd w:id="5"/>
    </w:p>
    <w:p w:rsidR="00681620" w:rsidRDefault="00BE1249" w:rsidP="00F07C2D">
      <w:pPr>
        <w:pStyle w:val="BodyText"/>
        <w:spacing w:line="20" w:lineRule="exact"/>
        <w:rPr>
          <w:sz w:val="2"/>
        </w:rPr>
      </w:pPr>
      <w:r>
        <w:rPr>
          <w:noProof/>
          <w:sz w:val="2"/>
          <w:lang w:val="en-AU" w:eastAsia="en-AU"/>
        </w:rPr>
        <mc:AlternateContent>
          <mc:Choice Requires="wpg">
            <w:drawing>
              <wp:inline distT="0" distB="0" distL="0" distR="0">
                <wp:extent cx="6163310" cy="6350"/>
                <wp:effectExtent l="2540" t="7620" r="6350" b="508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3310" cy="6350"/>
                          <a:chOff x="0" y="0"/>
                          <a:chExt cx="9706" cy="10"/>
                        </a:xfrm>
                      </wpg:grpSpPr>
                      <wps:wsp>
                        <wps:cNvPr id="6" name="Line 3"/>
                        <wps:cNvCnPr>
                          <a:cxnSpLocks noChangeShapeType="1"/>
                        </wps:cNvCnPr>
                        <wps:spPr bwMode="auto">
                          <a:xfrm>
                            <a:off x="5" y="5"/>
                            <a:ext cx="969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DAD37B0" id="Group 2" o:spid="_x0000_s1026" style="width:485.3pt;height:.5pt;mso-position-horizontal-relative:char;mso-position-vertical-relative:line" coordsize="970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">
                <v:line id="Line 3" o:spid="_x0000_s1027" style="position:absolute;visibility:visible;mso-wrap-style:square" from="5,5" to="97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w10:anchorlock/>
              </v:group>
            </w:pict>
          </mc:Fallback>
        </mc:AlternateContent>
      </w:r>
    </w:p>
    <w:p w:rsidR="00681620" w:rsidRDefault="00681620">
      <w:pPr>
        <w:pStyle w:val="BodyText"/>
        <w:spacing w:before="9"/>
        <w:rPr>
          <w:sz w:val="20"/>
        </w:rPr>
      </w:pPr>
      <w:bookmarkStart w:id="6" w:name="1._Objectives"/>
      <w:bookmarkStart w:id="7" w:name="2._Background"/>
      <w:bookmarkEnd w:id="6"/>
      <w:bookmarkEnd w:id="7"/>
    </w:p>
    <w:p w:rsidR="00261F26" w:rsidRPr="00F07C2D" w:rsidRDefault="00261F26" w:rsidP="00F07C2D">
      <w:pPr>
        <w:pStyle w:val="Heading1"/>
        <w:numPr>
          <w:ilvl w:val="0"/>
          <w:numId w:val="4"/>
        </w:numPr>
        <w:ind w:left="567" w:hanging="567"/>
      </w:pPr>
      <w:bookmarkStart w:id="8" w:name="3._Policy"/>
      <w:bookmarkEnd w:id="8"/>
      <w:r w:rsidRPr="00F07C2D">
        <w:t>Purpose</w:t>
      </w:r>
    </w:p>
    <w:p w:rsidR="00261F26" w:rsidRDefault="00261F26" w:rsidP="005F28A6">
      <w:pPr>
        <w:pStyle w:val="BodyText"/>
        <w:spacing w:before="11"/>
        <w:ind w:left="1134"/>
        <w:rPr>
          <w:b/>
          <w:sz w:val="20"/>
        </w:rPr>
      </w:pPr>
    </w:p>
    <w:p w:rsidR="00261F26" w:rsidRPr="00621F41" w:rsidRDefault="00261F26" w:rsidP="00F07C2D">
      <w:pPr>
        <w:pStyle w:val="BodyText"/>
        <w:ind w:left="567"/>
      </w:pPr>
      <w:r w:rsidRPr="00621F41">
        <w:t>This policy outlines Council’s Loan Borrowing Strategy and provides guidance for the prudent borrowing of funds.</w:t>
      </w:r>
    </w:p>
    <w:p w:rsidR="00261F26" w:rsidRDefault="00261F26" w:rsidP="00F07C2D">
      <w:pPr>
        <w:pStyle w:val="BodyText"/>
        <w:ind w:left="567" w:hanging="567"/>
        <w:rPr>
          <w:sz w:val="11"/>
        </w:rPr>
      </w:pPr>
    </w:p>
    <w:p w:rsidR="00261F26" w:rsidRDefault="00261F26" w:rsidP="00F07C2D">
      <w:pPr>
        <w:pStyle w:val="BodyText"/>
        <w:spacing w:before="7"/>
        <w:ind w:left="567" w:hanging="567"/>
        <w:rPr>
          <w:sz w:val="17"/>
        </w:rPr>
      </w:pPr>
    </w:p>
    <w:p w:rsidR="00261F26" w:rsidRPr="00F07C2D" w:rsidRDefault="00261F26" w:rsidP="00F07C2D">
      <w:pPr>
        <w:pStyle w:val="Heading1"/>
        <w:numPr>
          <w:ilvl w:val="0"/>
          <w:numId w:val="4"/>
        </w:numPr>
        <w:ind w:left="567" w:hanging="567"/>
      </w:pPr>
      <w:r w:rsidRPr="00F07C2D">
        <w:t>Objectives</w:t>
      </w:r>
    </w:p>
    <w:p w:rsidR="00261F26" w:rsidRDefault="00261F26" w:rsidP="00F07C2D">
      <w:pPr>
        <w:pStyle w:val="BodyText"/>
        <w:spacing w:before="7"/>
        <w:ind w:left="567" w:hanging="567"/>
        <w:rPr>
          <w:b/>
        </w:rPr>
      </w:pPr>
      <w:bookmarkStart w:id="9" w:name="Objective"/>
      <w:bookmarkEnd w:id="9"/>
    </w:p>
    <w:p w:rsidR="00261F26" w:rsidRPr="00621F41" w:rsidRDefault="00261F26" w:rsidP="00621F41">
      <w:pPr>
        <w:pStyle w:val="ListParagraph"/>
        <w:numPr>
          <w:ilvl w:val="0"/>
          <w:numId w:val="2"/>
        </w:numPr>
        <w:tabs>
          <w:tab w:val="left" w:pos="2520"/>
        </w:tabs>
        <w:ind w:left="1134" w:hanging="567"/>
        <w:rPr>
          <w:sz w:val="24"/>
          <w:szCs w:val="24"/>
        </w:rPr>
      </w:pPr>
      <w:r w:rsidRPr="00621F41">
        <w:rPr>
          <w:sz w:val="24"/>
          <w:szCs w:val="24"/>
        </w:rPr>
        <w:t>To detail Council’s planned financial management strategy for existing and future</w:t>
      </w:r>
      <w:r w:rsidRPr="00621F41">
        <w:rPr>
          <w:spacing w:val="-15"/>
          <w:sz w:val="24"/>
          <w:szCs w:val="24"/>
        </w:rPr>
        <w:t xml:space="preserve"> </w:t>
      </w:r>
      <w:r w:rsidRPr="00621F41">
        <w:rPr>
          <w:sz w:val="24"/>
          <w:szCs w:val="24"/>
        </w:rPr>
        <w:t>debt;</w:t>
      </w:r>
    </w:p>
    <w:p w:rsidR="00261F26" w:rsidRPr="00621F41" w:rsidRDefault="00261F26" w:rsidP="00621F41">
      <w:pPr>
        <w:pStyle w:val="ListParagraph"/>
        <w:numPr>
          <w:ilvl w:val="0"/>
          <w:numId w:val="2"/>
        </w:numPr>
        <w:tabs>
          <w:tab w:val="left" w:pos="2520"/>
        </w:tabs>
        <w:spacing w:before="136"/>
        <w:ind w:left="1134" w:hanging="567"/>
        <w:rPr>
          <w:sz w:val="24"/>
          <w:szCs w:val="24"/>
        </w:rPr>
      </w:pPr>
      <w:r w:rsidRPr="00621F41">
        <w:rPr>
          <w:sz w:val="24"/>
          <w:szCs w:val="24"/>
        </w:rPr>
        <w:t>Provide guidance as to the information that must be taken into consideration when</w:t>
      </w:r>
      <w:r w:rsidRPr="00621F41">
        <w:rPr>
          <w:spacing w:val="-9"/>
          <w:sz w:val="24"/>
          <w:szCs w:val="24"/>
        </w:rPr>
        <w:t xml:space="preserve"> </w:t>
      </w:r>
      <w:r w:rsidRPr="00621F41">
        <w:rPr>
          <w:sz w:val="24"/>
          <w:szCs w:val="24"/>
        </w:rPr>
        <w:t>Council</w:t>
      </w:r>
      <w:r w:rsidRPr="00621F41">
        <w:rPr>
          <w:spacing w:val="-9"/>
          <w:sz w:val="24"/>
          <w:szCs w:val="24"/>
        </w:rPr>
        <w:t xml:space="preserve"> </w:t>
      </w:r>
      <w:r w:rsidRPr="00621F41">
        <w:rPr>
          <w:sz w:val="24"/>
          <w:szCs w:val="24"/>
        </w:rPr>
        <w:t>is</w:t>
      </w:r>
      <w:r w:rsidRPr="00621F41">
        <w:rPr>
          <w:spacing w:val="-8"/>
          <w:sz w:val="24"/>
          <w:szCs w:val="24"/>
        </w:rPr>
        <w:t xml:space="preserve"> </w:t>
      </w:r>
      <w:r w:rsidRPr="00621F41">
        <w:rPr>
          <w:sz w:val="24"/>
          <w:szCs w:val="24"/>
        </w:rPr>
        <w:t>considering</w:t>
      </w:r>
      <w:r w:rsidRPr="00621F41">
        <w:rPr>
          <w:spacing w:val="-6"/>
          <w:sz w:val="24"/>
          <w:szCs w:val="24"/>
        </w:rPr>
        <w:t xml:space="preserve"> </w:t>
      </w:r>
      <w:r w:rsidRPr="00621F41">
        <w:rPr>
          <w:sz w:val="24"/>
          <w:szCs w:val="24"/>
        </w:rPr>
        <w:t>the</w:t>
      </w:r>
      <w:r w:rsidRPr="00621F41">
        <w:rPr>
          <w:spacing w:val="-9"/>
          <w:sz w:val="24"/>
          <w:szCs w:val="24"/>
        </w:rPr>
        <w:t xml:space="preserve"> </w:t>
      </w:r>
      <w:r w:rsidRPr="00621F41">
        <w:rPr>
          <w:sz w:val="24"/>
          <w:szCs w:val="24"/>
        </w:rPr>
        <w:t>use</w:t>
      </w:r>
      <w:r w:rsidRPr="00621F41">
        <w:rPr>
          <w:spacing w:val="-11"/>
          <w:sz w:val="24"/>
          <w:szCs w:val="24"/>
        </w:rPr>
        <w:t xml:space="preserve"> </w:t>
      </w:r>
      <w:r w:rsidRPr="00621F41">
        <w:rPr>
          <w:sz w:val="24"/>
          <w:szCs w:val="24"/>
        </w:rPr>
        <w:t>of</w:t>
      </w:r>
      <w:r w:rsidRPr="00621F41">
        <w:rPr>
          <w:spacing w:val="-6"/>
          <w:sz w:val="24"/>
          <w:szCs w:val="24"/>
        </w:rPr>
        <w:t xml:space="preserve"> </w:t>
      </w:r>
      <w:r w:rsidRPr="00621F41">
        <w:rPr>
          <w:sz w:val="24"/>
          <w:szCs w:val="24"/>
        </w:rPr>
        <w:t>debt;</w:t>
      </w:r>
    </w:p>
    <w:p w:rsidR="00261F26" w:rsidRPr="00621F41" w:rsidRDefault="00261F26" w:rsidP="00621F41">
      <w:pPr>
        <w:pStyle w:val="ListParagraph"/>
        <w:numPr>
          <w:ilvl w:val="0"/>
          <w:numId w:val="2"/>
        </w:numPr>
        <w:tabs>
          <w:tab w:val="left" w:pos="2520"/>
        </w:tabs>
        <w:spacing w:before="133"/>
        <w:ind w:left="1134" w:hanging="567"/>
        <w:rPr>
          <w:sz w:val="24"/>
          <w:szCs w:val="24"/>
        </w:rPr>
      </w:pPr>
      <w:proofErr w:type="spellStart"/>
      <w:r w:rsidRPr="00621F41">
        <w:rPr>
          <w:sz w:val="24"/>
          <w:szCs w:val="24"/>
        </w:rPr>
        <w:t>Minimise</w:t>
      </w:r>
      <w:proofErr w:type="spellEnd"/>
      <w:r w:rsidRPr="00621F41">
        <w:rPr>
          <w:sz w:val="24"/>
          <w:szCs w:val="24"/>
        </w:rPr>
        <w:t xml:space="preserve"> the cost of</w:t>
      </w:r>
      <w:r w:rsidRPr="00621F41">
        <w:rPr>
          <w:spacing w:val="-42"/>
          <w:sz w:val="24"/>
          <w:szCs w:val="24"/>
        </w:rPr>
        <w:t xml:space="preserve"> </w:t>
      </w:r>
      <w:r w:rsidRPr="00621F41">
        <w:rPr>
          <w:sz w:val="24"/>
          <w:szCs w:val="24"/>
        </w:rPr>
        <w:t>borrowing;</w:t>
      </w:r>
    </w:p>
    <w:p w:rsidR="00261F26" w:rsidRPr="00621F41" w:rsidRDefault="00261F26" w:rsidP="00621F41">
      <w:pPr>
        <w:pStyle w:val="ListParagraph"/>
        <w:numPr>
          <w:ilvl w:val="0"/>
          <w:numId w:val="2"/>
        </w:numPr>
        <w:tabs>
          <w:tab w:val="left" w:pos="2520"/>
        </w:tabs>
        <w:spacing w:before="133"/>
        <w:ind w:left="1134" w:hanging="567"/>
        <w:rPr>
          <w:sz w:val="24"/>
          <w:szCs w:val="24"/>
        </w:rPr>
      </w:pPr>
      <w:r w:rsidRPr="00621F41">
        <w:rPr>
          <w:sz w:val="24"/>
          <w:szCs w:val="24"/>
        </w:rPr>
        <w:t>Have</w:t>
      </w:r>
      <w:r w:rsidRPr="00621F41">
        <w:rPr>
          <w:spacing w:val="-10"/>
          <w:sz w:val="24"/>
          <w:szCs w:val="24"/>
        </w:rPr>
        <w:t xml:space="preserve"> </w:t>
      </w:r>
      <w:r w:rsidRPr="00621F41">
        <w:rPr>
          <w:sz w:val="24"/>
          <w:szCs w:val="24"/>
        </w:rPr>
        <w:t>regard</w:t>
      </w:r>
      <w:r w:rsidRPr="00621F41">
        <w:rPr>
          <w:spacing w:val="-12"/>
          <w:sz w:val="24"/>
          <w:szCs w:val="24"/>
        </w:rPr>
        <w:t xml:space="preserve"> </w:t>
      </w:r>
      <w:r w:rsidRPr="00621F41">
        <w:rPr>
          <w:sz w:val="24"/>
          <w:szCs w:val="24"/>
        </w:rPr>
        <w:t>to</w:t>
      </w:r>
      <w:r w:rsidRPr="00621F41">
        <w:rPr>
          <w:spacing w:val="-10"/>
          <w:sz w:val="24"/>
          <w:szCs w:val="24"/>
        </w:rPr>
        <w:t xml:space="preserve"> </w:t>
      </w:r>
      <w:r w:rsidRPr="00621F41">
        <w:rPr>
          <w:sz w:val="24"/>
          <w:szCs w:val="24"/>
        </w:rPr>
        <w:t>the</w:t>
      </w:r>
      <w:r w:rsidRPr="00621F41">
        <w:rPr>
          <w:spacing w:val="-10"/>
          <w:sz w:val="24"/>
          <w:szCs w:val="24"/>
        </w:rPr>
        <w:t xml:space="preserve"> </w:t>
      </w:r>
      <w:r w:rsidRPr="00621F41">
        <w:rPr>
          <w:sz w:val="24"/>
          <w:szCs w:val="24"/>
        </w:rPr>
        <w:t>long</w:t>
      </w:r>
      <w:r w:rsidRPr="00621F41">
        <w:rPr>
          <w:spacing w:val="-10"/>
          <w:sz w:val="24"/>
          <w:szCs w:val="24"/>
        </w:rPr>
        <w:t xml:space="preserve"> </w:t>
      </w:r>
      <w:r w:rsidRPr="00621F41">
        <w:rPr>
          <w:sz w:val="24"/>
          <w:szCs w:val="24"/>
        </w:rPr>
        <w:t>term</w:t>
      </w:r>
      <w:r w:rsidRPr="00621F41">
        <w:rPr>
          <w:spacing w:val="-9"/>
          <w:sz w:val="24"/>
          <w:szCs w:val="24"/>
        </w:rPr>
        <w:t xml:space="preserve"> </w:t>
      </w:r>
      <w:r w:rsidRPr="00621F41">
        <w:rPr>
          <w:sz w:val="24"/>
          <w:szCs w:val="24"/>
        </w:rPr>
        <w:t>and</w:t>
      </w:r>
      <w:r w:rsidRPr="00621F41">
        <w:rPr>
          <w:spacing w:val="-10"/>
          <w:sz w:val="24"/>
          <w:szCs w:val="24"/>
        </w:rPr>
        <w:t xml:space="preserve"> </w:t>
      </w:r>
      <w:r w:rsidRPr="00621F41">
        <w:rPr>
          <w:sz w:val="24"/>
          <w:szCs w:val="24"/>
        </w:rPr>
        <w:t>cumulative</w:t>
      </w:r>
      <w:r w:rsidRPr="00621F41">
        <w:rPr>
          <w:spacing w:val="-10"/>
          <w:sz w:val="24"/>
          <w:szCs w:val="24"/>
        </w:rPr>
        <w:t xml:space="preserve"> </w:t>
      </w:r>
      <w:r w:rsidRPr="00621F41">
        <w:rPr>
          <w:sz w:val="24"/>
          <w:szCs w:val="24"/>
        </w:rPr>
        <w:t>effects</w:t>
      </w:r>
      <w:r w:rsidRPr="00621F41">
        <w:rPr>
          <w:spacing w:val="-9"/>
          <w:sz w:val="24"/>
          <w:szCs w:val="24"/>
        </w:rPr>
        <w:t xml:space="preserve"> </w:t>
      </w:r>
      <w:r w:rsidRPr="00621F41">
        <w:rPr>
          <w:sz w:val="24"/>
          <w:szCs w:val="24"/>
        </w:rPr>
        <w:t>of</w:t>
      </w:r>
      <w:r w:rsidRPr="00621F41">
        <w:rPr>
          <w:spacing w:val="-6"/>
          <w:sz w:val="24"/>
          <w:szCs w:val="24"/>
        </w:rPr>
        <w:t xml:space="preserve"> </w:t>
      </w:r>
      <w:r w:rsidRPr="00621F41">
        <w:rPr>
          <w:sz w:val="24"/>
          <w:szCs w:val="24"/>
        </w:rPr>
        <w:t>Council’s</w:t>
      </w:r>
      <w:r w:rsidRPr="00621F41">
        <w:rPr>
          <w:spacing w:val="-9"/>
          <w:sz w:val="24"/>
          <w:szCs w:val="24"/>
        </w:rPr>
        <w:t xml:space="preserve"> </w:t>
      </w:r>
      <w:r w:rsidRPr="00621F41">
        <w:rPr>
          <w:sz w:val="24"/>
          <w:szCs w:val="24"/>
        </w:rPr>
        <w:t>decisions;</w:t>
      </w:r>
    </w:p>
    <w:p w:rsidR="00261F26" w:rsidRPr="00621F41" w:rsidRDefault="00261F26" w:rsidP="00621F41">
      <w:pPr>
        <w:pStyle w:val="ListParagraph"/>
        <w:numPr>
          <w:ilvl w:val="0"/>
          <w:numId w:val="2"/>
        </w:numPr>
        <w:tabs>
          <w:tab w:val="left" w:pos="2520"/>
        </w:tabs>
        <w:spacing w:before="133"/>
        <w:ind w:left="1134" w:hanging="567"/>
        <w:rPr>
          <w:sz w:val="24"/>
          <w:szCs w:val="24"/>
        </w:rPr>
      </w:pPr>
      <w:r w:rsidRPr="00621F41">
        <w:rPr>
          <w:sz w:val="24"/>
          <w:szCs w:val="24"/>
        </w:rPr>
        <w:t>Exercise reasonable care and diligence that a prudent person would exercise when borrowing funds.</w:t>
      </w:r>
    </w:p>
    <w:p w:rsidR="00261F26" w:rsidRDefault="00261F26" w:rsidP="00F07C2D">
      <w:pPr>
        <w:pStyle w:val="BodyText"/>
        <w:ind w:left="567" w:hanging="567"/>
        <w:rPr>
          <w:sz w:val="11"/>
        </w:rPr>
      </w:pPr>
    </w:p>
    <w:p w:rsidR="00261F26" w:rsidRDefault="00261F26" w:rsidP="005F28A6">
      <w:pPr>
        <w:pStyle w:val="BodyText"/>
        <w:spacing w:before="7"/>
        <w:ind w:left="1134"/>
        <w:rPr>
          <w:sz w:val="17"/>
        </w:rPr>
      </w:pPr>
    </w:p>
    <w:p w:rsidR="00261F26" w:rsidRPr="00621F41" w:rsidRDefault="00261F26" w:rsidP="00621F41">
      <w:pPr>
        <w:pStyle w:val="Heading1"/>
        <w:numPr>
          <w:ilvl w:val="0"/>
          <w:numId w:val="4"/>
        </w:numPr>
        <w:ind w:left="567" w:hanging="567"/>
      </w:pPr>
      <w:bookmarkStart w:id="10" w:name="Limitations"/>
      <w:bookmarkEnd w:id="10"/>
      <w:r w:rsidRPr="00621F41">
        <w:t>Limitations</w:t>
      </w:r>
    </w:p>
    <w:p w:rsidR="00261F26" w:rsidRDefault="00261F26" w:rsidP="005F28A6">
      <w:pPr>
        <w:pStyle w:val="BodyText"/>
        <w:spacing w:before="11"/>
        <w:ind w:left="1134"/>
        <w:rPr>
          <w:b/>
          <w:sz w:val="20"/>
        </w:rPr>
      </w:pPr>
    </w:p>
    <w:p w:rsidR="002E5DA3" w:rsidRPr="00621F41" w:rsidRDefault="002E5DA3" w:rsidP="00621F41">
      <w:pPr>
        <w:pStyle w:val="ListParagraph"/>
        <w:numPr>
          <w:ilvl w:val="0"/>
          <w:numId w:val="2"/>
        </w:numPr>
        <w:tabs>
          <w:tab w:val="left" w:pos="2520"/>
        </w:tabs>
        <w:spacing w:before="136"/>
        <w:ind w:left="1134" w:hanging="567"/>
        <w:rPr>
          <w:sz w:val="24"/>
          <w:szCs w:val="24"/>
        </w:rPr>
      </w:pPr>
      <w:r w:rsidRPr="00621F41">
        <w:rPr>
          <w:sz w:val="24"/>
          <w:szCs w:val="24"/>
        </w:rPr>
        <w:t xml:space="preserve">Division 2 of part 8 of the Local Government Act 1993 applies.  </w:t>
      </w:r>
    </w:p>
    <w:p w:rsidR="002E5DA3" w:rsidRPr="00621F41" w:rsidRDefault="002E5DA3" w:rsidP="00621F41">
      <w:pPr>
        <w:pStyle w:val="ListParagraph"/>
        <w:numPr>
          <w:ilvl w:val="0"/>
          <w:numId w:val="2"/>
        </w:numPr>
        <w:tabs>
          <w:tab w:val="left" w:pos="2520"/>
        </w:tabs>
        <w:spacing w:before="136"/>
        <w:ind w:left="1134" w:hanging="567"/>
        <w:rPr>
          <w:sz w:val="24"/>
          <w:szCs w:val="24"/>
        </w:rPr>
      </w:pPr>
      <w:r w:rsidRPr="00621F41">
        <w:rPr>
          <w:sz w:val="24"/>
          <w:szCs w:val="24"/>
        </w:rPr>
        <w:t>Per Section 78, State Treasurer approval is required to enter into borrowings.</w:t>
      </w:r>
    </w:p>
    <w:p w:rsidR="00261F26" w:rsidRPr="00621F41" w:rsidRDefault="002E5DA3" w:rsidP="00621F41">
      <w:pPr>
        <w:pStyle w:val="ListParagraph"/>
        <w:numPr>
          <w:ilvl w:val="0"/>
          <w:numId w:val="2"/>
        </w:numPr>
        <w:tabs>
          <w:tab w:val="left" w:pos="2520"/>
        </w:tabs>
        <w:spacing w:before="136"/>
        <w:ind w:left="1134" w:hanging="567"/>
        <w:rPr>
          <w:sz w:val="24"/>
          <w:szCs w:val="24"/>
        </w:rPr>
      </w:pPr>
      <w:r w:rsidRPr="00621F41">
        <w:rPr>
          <w:sz w:val="24"/>
          <w:szCs w:val="24"/>
        </w:rPr>
        <w:t xml:space="preserve">Per Section 80, annual </w:t>
      </w:r>
      <w:r w:rsidR="00261F26" w:rsidRPr="00621F41">
        <w:rPr>
          <w:sz w:val="24"/>
          <w:szCs w:val="24"/>
        </w:rPr>
        <w:t xml:space="preserve">servicing costs are not to exceed 30% of revenue (excluding specific purpose grants). </w:t>
      </w:r>
    </w:p>
    <w:p w:rsidR="00261F26" w:rsidRDefault="00261F26" w:rsidP="005F28A6">
      <w:pPr>
        <w:pStyle w:val="BodyText"/>
        <w:spacing w:before="2"/>
        <w:ind w:left="1134"/>
        <w:rPr>
          <w:sz w:val="11"/>
        </w:rPr>
      </w:pPr>
      <w:bookmarkStart w:id="11" w:name="Authorisation"/>
      <w:bookmarkEnd w:id="11"/>
    </w:p>
    <w:p w:rsidR="00261F26" w:rsidRDefault="00261F26" w:rsidP="005F28A6">
      <w:pPr>
        <w:pStyle w:val="BodyText"/>
        <w:spacing w:before="7"/>
        <w:ind w:left="1134"/>
        <w:rPr>
          <w:sz w:val="17"/>
        </w:rPr>
      </w:pPr>
    </w:p>
    <w:p w:rsidR="00261F26" w:rsidRPr="00F07C2D" w:rsidRDefault="00261F26" w:rsidP="00621F41">
      <w:pPr>
        <w:pStyle w:val="Heading1"/>
        <w:numPr>
          <w:ilvl w:val="0"/>
          <w:numId w:val="4"/>
        </w:numPr>
        <w:ind w:left="567" w:hanging="567"/>
        <w:rPr>
          <w:sz w:val="28"/>
          <w:szCs w:val="28"/>
        </w:rPr>
      </w:pPr>
      <w:bookmarkStart w:id="12" w:name="Principles"/>
      <w:bookmarkEnd w:id="12"/>
      <w:r w:rsidRPr="00621F41">
        <w:t>Borrowing Guidelines</w:t>
      </w:r>
    </w:p>
    <w:p w:rsidR="00261F26" w:rsidRPr="007F7EF7" w:rsidRDefault="00261F26" w:rsidP="005F28A6">
      <w:pPr>
        <w:pStyle w:val="BodyText"/>
        <w:spacing w:before="2"/>
        <w:ind w:left="1134"/>
        <w:rPr>
          <w:b/>
        </w:rPr>
      </w:pPr>
    </w:p>
    <w:p w:rsidR="00261F26" w:rsidRPr="00621F41" w:rsidRDefault="00261F26" w:rsidP="00621F41">
      <w:pPr>
        <w:pStyle w:val="ListParagraph"/>
        <w:numPr>
          <w:ilvl w:val="0"/>
          <w:numId w:val="2"/>
        </w:numPr>
        <w:tabs>
          <w:tab w:val="left" w:pos="2520"/>
        </w:tabs>
        <w:spacing w:before="136"/>
        <w:ind w:left="1134" w:hanging="567"/>
        <w:rPr>
          <w:sz w:val="24"/>
          <w:szCs w:val="24"/>
        </w:rPr>
      </w:pPr>
      <w:r w:rsidRPr="00621F41">
        <w:rPr>
          <w:sz w:val="24"/>
          <w:szCs w:val="24"/>
        </w:rPr>
        <w:t>Borrowings are not a form of revenue and do not replace the need for Council to generate sufficient operating revenue to service its operating requirements;</w:t>
      </w:r>
    </w:p>
    <w:p w:rsidR="00261F26" w:rsidRDefault="00261F26" w:rsidP="00621F41">
      <w:pPr>
        <w:pStyle w:val="ListParagraph"/>
        <w:numPr>
          <w:ilvl w:val="0"/>
          <w:numId w:val="2"/>
        </w:numPr>
        <w:tabs>
          <w:tab w:val="left" w:pos="2520"/>
        </w:tabs>
        <w:spacing w:before="136"/>
        <w:ind w:left="1134" w:hanging="567"/>
        <w:rPr>
          <w:sz w:val="24"/>
          <w:szCs w:val="24"/>
        </w:rPr>
      </w:pPr>
      <w:r w:rsidRPr="00621F41">
        <w:rPr>
          <w:sz w:val="24"/>
          <w:szCs w:val="24"/>
        </w:rPr>
        <w:t>Financing of major infrastructure assets requires a strategic approach to evaluate the risk exposure to Council;</w:t>
      </w:r>
    </w:p>
    <w:p w:rsidR="00621F41" w:rsidRDefault="00621F41" w:rsidP="00621F41">
      <w:pPr>
        <w:tabs>
          <w:tab w:val="left" w:pos="2520"/>
        </w:tabs>
        <w:spacing w:before="136"/>
        <w:rPr>
          <w:sz w:val="24"/>
          <w:szCs w:val="24"/>
        </w:rPr>
      </w:pPr>
    </w:p>
    <w:p w:rsidR="00621F41" w:rsidRDefault="00621F41" w:rsidP="00621F41">
      <w:pPr>
        <w:tabs>
          <w:tab w:val="left" w:pos="2520"/>
        </w:tabs>
        <w:spacing w:before="136"/>
        <w:rPr>
          <w:sz w:val="24"/>
          <w:szCs w:val="24"/>
        </w:rPr>
      </w:pPr>
    </w:p>
    <w:p w:rsidR="00621F41" w:rsidRPr="00621F41" w:rsidRDefault="00621F41" w:rsidP="00621F41">
      <w:pPr>
        <w:tabs>
          <w:tab w:val="left" w:pos="2520"/>
        </w:tabs>
        <w:spacing w:before="136"/>
        <w:rPr>
          <w:sz w:val="24"/>
          <w:szCs w:val="24"/>
        </w:rPr>
      </w:pPr>
    </w:p>
    <w:p w:rsidR="00261F26" w:rsidRPr="00621F41" w:rsidRDefault="00261F26" w:rsidP="00621F41">
      <w:pPr>
        <w:pStyle w:val="ListParagraph"/>
        <w:numPr>
          <w:ilvl w:val="0"/>
          <w:numId w:val="2"/>
        </w:numPr>
        <w:tabs>
          <w:tab w:val="left" w:pos="2520"/>
        </w:tabs>
        <w:spacing w:before="136"/>
        <w:ind w:left="1134" w:hanging="567"/>
        <w:rPr>
          <w:sz w:val="24"/>
          <w:szCs w:val="24"/>
        </w:rPr>
      </w:pPr>
      <w:r w:rsidRPr="00621F41">
        <w:rPr>
          <w:sz w:val="24"/>
          <w:szCs w:val="24"/>
        </w:rPr>
        <w:t>Council, where it is appropriate</w:t>
      </w:r>
      <w:r w:rsidR="008C619B">
        <w:rPr>
          <w:sz w:val="24"/>
          <w:szCs w:val="24"/>
        </w:rPr>
        <w:t>,</w:t>
      </w:r>
      <w:r w:rsidRPr="00621F41">
        <w:rPr>
          <w:sz w:val="24"/>
          <w:szCs w:val="24"/>
        </w:rPr>
        <w:t xml:space="preserve"> may enter into a borrowing facility for a long term asset construction </w:t>
      </w:r>
      <w:r w:rsidR="008C619B">
        <w:rPr>
          <w:sz w:val="24"/>
          <w:szCs w:val="24"/>
        </w:rPr>
        <w:t xml:space="preserve">or purchase </w:t>
      </w:r>
      <w:r w:rsidRPr="00621F41">
        <w:rPr>
          <w:sz w:val="24"/>
          <w:szCs w:val="24"/>
        </w:rPr>
        <w:t>project</w:t>
      </w:r>
      <w:r w:rsidR="008C619B">
        <w:rPr>
          <w:sz w:val="24"/>
          <w:szCs w:val="24"/>
        </w:rPr>
        <w:t>s</w:t>
      </w:r>
      <w:r w:rsidRPr="00621F41">
        <w:rPr>
          <w:sz w:val="24"/>
          <w:szCs w:val="24"/>
        </w:rPr>
        <w:t>;</w:t>
      </w:r>
    </w:p>
    <w:p w:rsidR="00621F41" w:rsidRPr="00621F41" w:rsidRDefault="00261F26" w:rsidP="00621F41">
      <w:pPr>
        <w:pStyle w:val="ListParagraph"/>
        <w:numPr>
          <w:ilvl w:val="0"/>
          <w:numId w:val="2"/>
        </w:numPr>
        <w:tabs>
          <w:tab w:val="left" w:pos="2520"/>
        </w:tabs>
        <w:spacing w:before="136"/>
        <w:ind w:left="1134" w:hanging="567"/>
        <w:rPr>
          <w:sz w:val="24"/>
          <w:szCs w:val="24"/>
        </w:rPr>
      </w:pPr>
      <w:r w:rsidRPr="00621F41">
        <w:rPr>
          <w:sz w:val="24"/>
          <w:szCs w:val="24"/>
        </w:rPr>
        <w:t>There will be no long term debt to finance operating activities, non-capital projects or recurring expenditure of Council;</w:t>
      </w:r>
    </w:p>
    <w:p w:rsidR="00261F26" w:rsidRPr="00621F41" w:rsidRDefault="00261F26" w:rsidP="00A96539">
      <w:pPr>
        <w:pStyle w:val="ListParagraph"/>
        <w:numPr>
          <w:ilvl w:val="0"/>
          <w:numId w:val="2"/>
        </w:numPr>
        <w:tabs>
          <w:tab w:val="left" w:pos="2520"/>
        </w:tabs>
        <w:spacing w:before="136"/>
        <w:ind w:left="1134" w:hanging="567"/>
        <w:rPr>
          <w:sz w:val="24"/>
          <w:szCs w:val="24"/>
        </w:rPr>
      </w:pPr>
      <w:r w:rsidRPr="00621F41">
        <w:rPr>
          <w:sz w:val="24"/>
          <w:szCs w:val="24"/>
        </w:rPr>
        <w:t>The term of the loan should not exceed the expected economic life of the asset being funded, subject to the maximum periods below; and</w:t>
      </w:r>
    </w:p>
    <w:p w:rsidR="00261F26" w:rsidRDefault="00261F26" w:rsidP="00A96539">
      <w:pPr>
        <w:pStyle w:val="ListParagraph"/>
        <w:numPr>
          <w:ilvl w:val="0"/>
          <w:numId w:val="2"/>
        </w:numPr>
        <w:tabs>
          <w:tab w:val="left" w:pos="2520"/>
        </w:tabs>
        <w:spacing w:before="136"/>
        <w:ind w:left="1134" w:hanging="567"/>
        <w:rPr>
          <w:sz w:val="24"/>
          <w:szCs w:val="24"/>
        </w:rPr>
      </w:pPr>
      <w:r w:rsidRPr="00621F41">
        <w:rPr>
          <w:sz w:val="24"/>
          <w:szCs w:val="24"/>
        </w:rPr>
        <w:t>The maximum period for borrowing will be set at 15 years.  Variations to this will require a resolution of Council.</w:t>
      </w:r>
    </w:p>
    <w:p w:rsidR="00621F41" w:rsidRPr="00621F41" w:rsidRDefault="00621F41" w:rsidP="00621F41">
      <w:pPr>
        <w:pStyle w:val="ListParagraph"/>
        <w:tabs>
          <w:tab w:val="left" w:pos="2520"/>
        </w:tabs>
        <w:spacing w:before="73"/>
        <w:ind w:left="1134" w:firstLine="0"/>
        <w:rPr>
          <w:sz w:val="24"/>
          <w:szCs w:val="24"/>
        </w:rPr>
      </w:pPr>
    </w:p>
    <w:p w:rsidR="00261F26" w:rsidRDefault="00261F26" w:rsidP="005F28A6">
      <w:pPr>
        <w:pStyle w:val="BodyText"/>
        <w:ind w:left="1134"/>
        <w:rPr>
          <w:sz w:val="20"/>
        </w:rPr>
      </w:pPr>
    </w:p>
    <w:p w:rsidR="00261F26" w:rsidRPr="00621F41" w:rsidRDefault="00261F26" w:rsidP="00621F41">
      <w:pPr>
        <w:pStyle w:val="Heading1"/>
        <w:numPr>
          <w:ilvl w:val="0"/>
          <w:numId w:val="4"/>
        </w:numPr>
        <w:ind w:left="567" w:hanging="567"/>
      </w:pPr>
      <w:bookmarkStart w:id="13" w:name="Determination_of_the_Appropriate_Lending"/>
      <w:bookmarkEnd w:id="13"/>
      <w:r w:rsidRPr="00621F41">
        <w:t>Determination of the Appropriate Lending Institution</w:t>
      </w:r>
    </w:p>
    <w:p w:rsidR="00261F26" w:rsidRDefault="00261F26" w:rsidP="005F28A6">
      <w:pPr>
        <w:pStyle w:val="BodyText"/>
        <w:spacing w:before="2"/>
        <w:ind w:left="1134"/>
        <w:rPr>
          <w:b/>
        </w:rPr>
      </w:pPr>
    </w:p>
    <w:p w:rsidR="00261F26" w:rsidRPr="00621F41" w:rsidRDefault="00261F26" w:rsidP="00621F41">
      <w:pPr>
        <w:pStyle w:val="ListParagraph"/>
        <w:numPr>
          <w:ilvl w:val="0"/>
          <w:numId w:val="2"/>
        </w:numPr>
        <w:tabs>
          <w:tab w:val="left" w:pos="2520"/>
        </w:tabs>
        <w:spacing w:before="136"/>
        <w:ind w:left="1134" w:hanging="567"/>
        <w:rPr>
          <w:sz w:val="24"/>
          <w:szCs w:val="24"/>
        </w:rPr>
      </w:pPr>
      <w:r w:rsidRPr="00621F41">
        <w:rPr>
          <w:sz w:val="24"/>
          <w:szCs w:val="24"/>
        </w:rPr>
        <w:t>Once borrowin</w:t>
      </w:r>
      <w:r w:rsidR="004522F8" w:rsidRPr="00621F41">
        <w:rPr>
          <w:sz w:val="24"/>
          <w:szCs w:val="24"/>
        </w:rPr>
        <w:t xml:space="preserve">g has been approved by Council as part of the Annual Budget Estimates, </w:t>
      </w:r>
      <w:r w:rsidRPr="00621F41">
        <w:rPr>
          <w:sz w:val="24"/>
          <w:szCs w:val="24"/>
        </w:rPr>
        <w:t>a quotation process will be conducted whereby appropriate lending institutions (</w:t>
      </w:r>
      <w:proofErr w:type="spellStart"/>
      <w:r w:rsidRPr="00621F41">
        <w:rPr>
          <w:sz w:val="24"/>
          <w:szCs w:val="24"/>
        </w:rPr>
        <w:t>A</w:t>
      </w:r>
      <w:r w:rsidR="007F7EF7" w:rsidRPr="00621F41">
        <w:rPr>
          <w:sz w:val="24"/>
          <w:szCs w:val="24"/>
        </w:rPr>
        <w:t>uthorised</w:t>
      </w:r>
      <w:proofErr w:type="spellEnd"/>
      <w:r w:rsidR="007F7EF7" w:rsidRPr="00621F41">
        <w:rPr>
          <w:sz w:val="24"/>
          <w:szCs w:val="24"/>
        </w:rPr>
        <w:t xml:space="preserve"> </w:t>
      </w:r>
      <w:r w:rsidRPr="00621F41">
        <w:rPr>
          <w:sz w:val="24"/>
          <w:szCs w:val="24"/>
        </w:rPr>
        <w:t>D</w:t>
      </w:r>
      <w:r w:rsidR="007F7EF7" w:rsidRPr="00621F41">
        <w:rPr>
          <w:sz w:val="24"/>
          <w:szCs w:val="24"/>
        </w:rPr>
        <w:t>eposit-taking Institutions</w:t>
      </w:r>
      <w:r w:rsidRPr="00621F41">
        <w:rPr>
          <w:sz w:val="24"/>
          <w:szCs w:val="24"/>
        </w:rPr>
        <w:t>) will be invited to submit written quotations on Council’s borrowing  requirements</w:t>
      </w:r>
      <w:r w:rsidR="007F7EF7" w:rsidRPr="00621F41">
        <w:rPr>
          <w:sz w:val="24"/>
          <w:szCs w:val="24"/>
        </w:rPr>
        <w:t>.</w:t>
      </w:r>
    </w:p>
    <w:p w:rsidR="00261F26" w:rsidRPr="00621F41" w:rsidRDefault="00261F26" w:rsidP="00621F41">
      <w:pPr>
        <w:pStyle w:val="ListParagraph"/>
        <w:numPr>
          <w:ilvl w:val="0"/>
          <w:numId w:val="2"/>
        </w:numPr>
        <w:tabs>
          <w:tab w:val="left" w:pos="2520"/>
        </w:tabs>
        <w:spacing w:before="136"/>
        <w:ind w:left="1134" w:hanging="567"/>
        <w:rPr>
          <w:sz w:val="24"/>
          <w:szCs w:val="24"/>
        </w:rPr>
      </w:pPr>
      <w:r w:rsidRPr="00621F41">
        <w:rPr>
          <w:sz w:val="24"/>
          <w:szCs w:val="24"/>
        </w:rPr>
        <w:t>Written quotations must include;</w:t>
      </w:r>
    </w:p>
    <w:p w:rsidR="00261F26" w:rsidRPr="00621F41" w:rsidRDefault="00261F26" w:rsidP="005F28A6">
      <w:pPr>
        <w:pStyle w:val="ListParagraph"/>
        <w:numPr>
          <w:ilvl w:val="0"/>
          <w:numId w:val="3"/>
        </w:numPr>
        <w:tabs>
          <w:tab w:val="left" w:pos="3240"/>
        </w:tabs>
        <w:spacing w:before="119"/>
        <w:ind w:left="1854"/>
        <w:jc w:val="both"/>
        <w:rPr>
          <w:sz w:val="24"/>
          <w:szCs w:val="24"/>
        </w:rPr>
      </w:pPr>
      <w:r w:rsidRPr="00621F41">
        <w:rPr>
          <w:sz w:val="24"/>
          <w:szCs w:val="24"/>
        </w:rPr>
        <w:t>Interest</w:t>
      </w:r>
      <w:r w:rsidRPr="00621F41">
        <w:rPr>
          <w:spacing w:val="-16"/>
          <w:sz w:val="24"/>
          <w:szCs w:val="24"/>
        </w:rPr>
        <w:t xml:space="preserve"> </w:t>
      </w:r>
      <w:r w:rsidRPr="00621F41">
        <w:rPr>
          <w:sz w:val="24"/>
          <w:szCs w:val="24"/>
        </w:rPr>
        <w:t>rate;</w:t>
      </w:r>
    </w:p>
    <w:p w:rsidR="00261F26" w:rsidRPr="00621F41" w:rsidRDefault="00261F26" w:rsidP="005F28A6">
      <w:pPr>
        <w:pStyle w:val="ListParagraph"/>
        <w:numPr>
          <w:ilvl w:val="0"/>
          <w:numId w:val="3"/>
        </w:numPr>
        <w:tabs>
          <w:tab w:val="left" w:pos="3240"/>
        </w:tabs>
        <w:spacing w:before="80"/>
        <w:ind w:left="1854"/>
        <w:jc w:val="both"/>
        <w:rPr>
          <w:sz w:val="24"/>
          <w:szCs w:val="24"/>
        </w:rPr>
      </w:pPr>
      <w:r w:rsidRPr="00621F41">
        <w:rPr>
          <w:sz w:val="24"/>
          <w:szCs w:val="24"/>
        </w:rPr>
        <w:t>Term of the</w:t>
      </w:r>
      <w:r w:rsidRPr="00621F41">
        <w:rPr>
          <w:spacing w:val="-20"/>
          <w:sz w:val="24"/>
          <w:szCs w:val="24"/>
        </w:rPr>
        <w:t xml:space="preserve"> </w:t>
      </w:r>
      <w:r w:rsidRPr="00621F41">
        <w:rPr>
          <w:sz w:val="24"/>
          <w:szCs w:val="24"/>
        </w:rPr>
        <w:t>loan;</w:t>
      </w:r>
    </w:p>
    <w:p w:rsidR="00261F26" w:rsidRPr="00621F41" w:rsidRDefault="00261F26" w:rsidP="005F28A6">
      <w:pPr>
        <w:pStyle w:val="ListParagraph"/>
        <w:numPr>
          <w:ilvl w:val="0"/>
          <w:numId w:val="3"/>
        </w:numPr>
        <w:tabs>
          <w:tab w:val="left" w:pos="3240"/>
        </w:tabs>
        <w:spacing w:before="80"/>
        <w:ind w:left="1854"/>
        <w:jc w:val="both"/>
        <w:rPr>
          <w:sz w:val="24"/>
          <w:szCs w:val="24"/>
        </w:rPr>
      </w:pPr>
      <w:r w:rsidRPr="00621F41">
        <w:rPr>
          <w:sz w:val="24"/>
          <w:szCs w:val="24"/>
        </w:rPr>
        <w:t>Repayment</w:t>
      </w:r>
      <w:r w:rsidRPr="00621F41">
        <w:rPr>
          <w:spacing w:val="-12"/>
          <w:sz w:val="24"/>
          <w:szCs w:val="24"/>
        </w:rPr>
        <w:t xml:space="preserve"> </w:t>
      </w:r>
      <w:r w:rsidRPr="00621F41">
        <w:rPr>
          <w:sz w:val="24"/>
          <w:szCs w:val="24"/>
        </w:rPr>
        <w:t>intervals</w:t>
      </w:r>
      <w:r w:rsidR="007F7EF7" w:rsidRPr="00621F41">
        <w:rPr>
          <w:sz w:val="24"/>
          <w:szCs w:val="24"/>
        </w:rPr>
        <w:t>;</w:t>
      </w:r>
    </w:p>
    <w:p w:rsidR="00261F26" w:rsidRPr="00621F41" w:rsidRDefault="00261F26" w:rsidP="005F28A6">
      <w:pPr>
        <w:pStyle w:val="ListParagraph"/>
        <w:numPr>
          <w:ilvl w:val="0"/>
          <w:numId w:val="3"/>
        </w:numPr>
        <w:tabs>
          <w:tab w:val="left" w:pos="3240"/>
        </w:tabs>
        <w:spacing w:before="80"/>
        <w:ind w:left="1854"/>
        <w:jc w:val="both"/>
        <w:rPr>
          <w:sz w:val="24"/>
          <w:szCs w:val="24"/>
        </w:rPr>
      </w:pPr>
      <w:r w:rsidRPr="00621F41">
        <w:rPr>
          <w:sz w:val="24"/>
          <w:szCs w:val="24"/>
        </w:rPr>
        <w:t>Repayment installment amount;</w:t>
      </w:r>
      <w:r w:rsidRPr="00621F41">
        <w:rPr>
          <w:spacing w:val="-45"/>
          <w:sz w:val="24"/>
          <w:szCs w:val="24"/>
        </w:rPr>
        <w:t xml:space="preserve"> </w:t>
      </w:r>
    </w:p>
    <w:p w:rsidR="00261F26" w:rsidRPr="00621F41" w:rsidRDefault="00261F26" w:rsidP="005F28A6">
      <w:pPr>
        <w:pStyle w:val="ListParagraph"/>
        <w:numPr>
          <w:ilvl w:val="0"/>
          <w:numId w:val="3"/>
        </w:numPr>
        <w:tabs>
          <w:tab w:val="left" w:pos="3240"/>
        </w:tabs>
        <w:spacing w:before="82"/>
        <w:ind w:left="1854"/>
        <w:jc w:val="both"/>
        <w:rPr>
          <w:sz w:val="24"/>
          <w:szCs w:val="24"/>
        </w:rPr>
      </w:pPr>
      <w:r w:rsidRPr="00621F41">
        <w:rPr>
          <w:sz w:val="24"/>
          <w:szCs w:val="24"/>
        </w:rPr>
        <w:t>Any applicable</w:t>
      </w:r>
      <w:r w:rsidRPr="00621F41">
        <w:rPr>
          <w:spacing w:val="-23"/>
          <w:sz w:val="24"/>
          <w:szCs w:val="24"/>
        </w:rPr>
        <w:t xml:space="preserve"> </w:t>
      </w:r>
      <w:r w:rsidRPr="00621F41">
        <w:rPr>
          <w:sz w:val="24"/>
          <w:szCs w:val="24"/>
        </w:rPr>
        <w:t>fees</w:t>
      </w:r>
      <w:r w:rsidR="007F7EF7" w:rsidRPr="00621F41">
        <w:rPr>
          <w:sz w:val="24"/>
          <w:szCs w:val="24"/>
        </w:rPr>
        <w:t>; and</w:t>
      </w:r>
    </w:p>
    <w:p w:rsidR="00261F26" w:rsidRPr="00621F41" w:rsidRDefault="00261F26" w:rsidP="005F28A6">
      <w:pPr>
        <w:pStyle w:val="ListParagraph"/>
        <w:numPr>
          <w:ilvl w:val="0"/>
          <w:numId w:val="3"/>
        </w:numPr>
        <w:tabs>
          <w:tab w:val="left" w:pos="3240"/>
        </w:tabs>
        <w:spacing w:before="82"/>
        <w:ind w:left="1854"/>
        <w:jc w:val="both"/>
        <w:rPr>
          <w:sz w:val="24"/>
          <w:szCs w:val="24"/>
        </w:rPr>
      </w:pPr>
      <w:r w:rsidRPr="00621F41">
        <w:rPr>
          <w:sz w:val="24"/>
          <w:szCs w:val="24"/>
        </w:rPr>
        <w:t>The ADI’s exposure to the Fossil Fuel industry</w:t>
      </w:r>
      <w:r w:rsidR="007F7EF7" w:rsidRPr="00621F41">
        <w:rPr>
          <w:sz w:val="24"/>
          <w:szCs w:val="24"/>
        </w:rPr>
        <w:t>.</w:t>
      </w:r>
    </w:p>
    <w:p w:rsidR="00261F26" w:rsidRPr="00621F41" w:rsidRDefault="00261F26" w:rsidP="005F28A6">
      <w:pPr>
        <w:pStyle w:val="ListParagraph"/>
        <w:numPr>
          <w:ilvl w:val="0"/>
          <w:numId w:val="2"/>
        </w:numPr>
        <w:tabs>
          <w:tab w:val="left" w:pos="2520"/>
        </w:tabs>
        <w:spacing w:before="99"/>
        <w:ind w:left="1134"/>
        <w:jc w:val="both"/>
        <w:rPr>
          <w:sz w:val="24"/>
          <w:szCs w:val="24"/>
        </w:rPr>
      </w:pPr>
      <w:r w:rsidRPr="00621F41">
        <w:rPr>
          <w:sz w:val="24"/>
          <w:szCs w:val="24"/>
        </w:rPr>
        <w:t>Interest rates may be fixed or va</w:t>
      </w:r>
      <w:r w:rsidR="007F7EF7" w:rsidRPr="00621F41">
        <w:rPr>
          <w:sz w:val="24"/>
          <w:szCs w:val="24"/>
        </w:rPr>
        <w:t>riable for the term of the loan</w:t>
      </w:r>
      <w:r w:rsidRPr="00621F41">
        <w:rPr>
          <w:sz w:val="24"/>
          <w:szCs w:val="24"/>
        </w:rPr>
        <w:t>;</w:t>
      </w:r>
    </w:p>
    <w:p w:rsidR="00261F26" w:rsidRPr="00621F41" w:rsidRDefault="00261F26" w:rsidP="005F28A6">
      <w:pPr>
        <w:pStyle w:val="ListParagraph"/>
        <w:numPr>
          <w:ilvl w:val="0"/>
          <w:numId w:val="2"/>
        </w:numPr>
        <w:tabs>
          <w:tab w:val="left" w:pos="2520"/>
        </w:tabs>
        <w:spacing w:before="133"/>
        <w:ind w:left="1134"/>
        <w:jc w:val="both"/>
        <w:rPr>
          <w:sz w:val="24"/>
          <w:szCs w:val="24"/>
        </w:rPr>
      </w:pPr>
      <w:r w:rsidRPr="00621F41">
        <w:rPr>
          <w:sz w:val="24"/>
          <w:szCs w:val="24"/>
        </w:rPr>
        <w:t xml:space="preserve">Appropriate and acceptable documentation must be provided to Council by any prospective lender during the </w:t>
      </w:r>
      <w:r w:rsidR="006D265C">
        <w:rPr>
          <w:sz w:val="24"/>
          <w:szCs w:val="24"/>
        </w:rPr>
        <w:t>quotation/tender process;</w:t>
      </w:r>
    </w:p>
    <w:p w:rsidR="00261F26" w:rsidRPr="00621F41" w:rsidRDefault="00261F26" w:rsidP="005F28A6">
      <w:pPr>
        <w:pStyle w:val="ListParagraph"/>
        <w:numPr>
          <w:ilvl w:val="0"/>
          <w:numId w:val="2"/>
        </w:numPr>
        <w:tabs>
          <w:tab w:val="left" w:pos="2520"/>
        </w:tabs>
        <w:spacing w:before="133"/>
        <w:ind w:left="1134"/>
        <w:jc w:val="both"/>
        <w:rPr>
          <w:sz w:val="24"/>
          <w:szCs w:val="24"/>
        </w:rPr>
      </w:pPr>
      <w:r w:rsidRPr="00621F41">
        <w:rPr>
          <w:sz w:val="24"/>
          <w:szCs w:val="24"/>
        </w:rPr>
        <w:t>The calculation for any loan break costs must be clearly set out in the loan documentation</w:t>
      </w:r>
      <w:r w:rsidR="006D265C">
        <w:rPr>
          <w:sz w:val="24"/>
          <w:szCs w:val="24"/>
        </w:rPr>
        <w:t>; and</w:t>
      </w:r>
    </w:p>
    <w:p w:rsidR="00261F26" w:rsidRPr="00621F41" w:rsidRDefault="00261F26" w:rsidP="005F28A6">
      <w:pPr>
        <w:pStyle w:val="ListParagraph"/>
        <w:numPr>
          <w:ilvl w:val="0"/>
          <w:numId w:val="2"/>
        </w:numPr>
        <w:tabs>
          <w:tab w:val="left" w:pos="2520"/>
        </w:tabs>
        <w:spacing w:before="133"/>
        <w:ind w:left="1134"/>
        <w:jc w:val="both"/>
        <w:rPr>
          <w:sz w:val="24"/>
          <w:szCs w:val="24"/>
        </w:rPr>
      </w:pPr>
      <w:r w:rsidRPr="00621F41">
        <w:rPr>
          <w:sz w:val="24"/>
          <w:szCs w:val="24"/>
        </w:rPr>
        <w:t>Subject to the preceding considerations, in making borrowing decisions, regard will be taken to a lending institution being environmentally and socially ethical. Subject to the terms of the borrowing being the same, preference will be given to lending institutions that do not invest in the fossil fuel industry.</w:t>
      </w:r>
    </w:p>
    <w:p w:rsidR="00261F26" w:rsidRDefault="00261F26" w:rsidP="005F28A6">
      <w:pPr>
        <w:pStyle w:val="BodyText"/>
        <w:ind w:left="1134"/>
        <w:rPr>
          <w:sz w:val="11"/>
        </w:rPr>
      </w:pPr>
    </w:p>
    <w:p w:rsidR="00261F26" w:rsidRDefault="00261F26" w:rsidP="005F28A6">
      <w:pPr>
        <w:pStyle w:val="BodyText"/>
        <w:spacing w:before="7"/>
        <w:ind w:left="1134"/>
        <w:rPr>
          <w:sz w:val="17"/>
        </w:rPr>
      </w:pPr>
    </w:p>
    <w:p w:rsidR="00261F26" w:rsidRDefault="00261F26" w:rsidP="00621F41">
      <w:pPr>
        <w:pStyle w:val="Heading1"/>
        <w:numPr>
          <w:ilvl w:val="0"/>
          <w:numId w:val="4"/>
        </w:numPr>
        <w:ind w:left="567" w:hanging="567"/>
      </w:pPr>
      <w:bookmarkStart w:id="14" w:name="Compliance_and_Monitoring"/>
      <w:bookmarkEnd w:id="14"/>
      <w:r>
        <w:t>Provision of Information to Aldermen</w:t>
      </w:r>
    </w:p>
    <w:p w:rsidR="00261F26" w:rsidRDefault="00261F26" w:rsidP="005F28A6">
      <w:pPr>
        <w:pStyle w:val="BodyText"/>
        <w:spacing w:before="2"/>
        <w:ind w:left="1134"/>
        <w:rPr>
          <w:b/>
        </w:rPr>
      </w:pPr>
    </w:p>
    <w:p w:rsidR="004522F8" w:rsidRDefault="004522F8" w:rsidP="00621F41">
      <w:pPr>
        <w:tabs>
          <w:tab w:val="left" w:pos="2520"/>
        </w:tabs>
        <w:spacing w:before="133"/>
        <w:ind w:left="567"/>
        <w:jc w:val="both"/>
        <w:rPr>
          <w:sz w:val="24"/>
          <w:szCs w:val="24"/>
        </w:rPr>
      </w:pPr>
      <w:r w:rsidRPr="00621F41">
        <w:rPr>
          <w:sz w:val="24"/>
          <w:szCs w:val="24"/>
        </w:rPr>
        <w:t>Details of all current</w:t>
      </w:r>
      <w:r w:rsidR="006D265C">
        <w:rPr>
          <w:sz w:val="24"/>
          <w:szCs w:val="24"/>
        </w:rPr>
        <w:t xml:space="preserve"> borrowings </w:t>
      </w:r>
      <w:r w:rsidRPr="00621F41">
        <w:rPr>
          <w:sz w:val="24"/>
          <w:szCs w:val="24"/>
        </w:rPr>
        <w:t xml:space="preserve">are to be provided to any Alderman upon request and are to be included in the quarterly financial report provided to the Finance Committee.  </w:t>
      </w:r>
    </w:p>
    <w:p w:rsidR="00621F41" w:rsidRDefault="00621F41" w:rsidP="00621F41">
      <w:pPr>
        <w:tabs>
          <w:tab w:val="left" w:pos="2520"/>
        </w:tabs>
        <w:spacing w:before="133"/>
        <w:ind w:left="567"/>
        <w:jc w:val="both"/>
        <w:rPr>
          <w:sz w:val="24"/>
          <w:szCs w:val="24"/>
        </w:rPr>
      </w:pPr>
    </w:p>
    <w:p w:rsidR="00621F41" w:rsidRDefault="00621F41" w:rsidP="00621F41">
      <w:pPr>
        <w:tabs>
          <w:tab w:val="left" w:pos="2520"/>
        </w:tabs>
        <w:spacing w:before="133"/>
        <w:ind w:left="567"/>
        <w:jc w:val="both"/>
        <w:rPr>
          <w:sz w:val="24"/>
          <w:szCs w:val="24"/>
        </w:rPr>
      </w:pPr>
    </w:p>
    <w:p w:rsidR="00621F41" w:rsidRDefault="00621F41" w:rsidP="00621F41">
      <w:pPr>
        <w:tabs>
          <w:tab w:val="left" w:pos="2520"/>
        </w:tabs>
        <w:spacing w:before="133"/>
        <w:ind w:left="567"/>
        <w:jc w:val="both"/>
        <w:rPr>
          <w:sz w:val="24"/>
          <w:szCs w:val="24"/>
        </w:rPr>
      </w:pPr>
    </w:p>
    <w:p w:rsidR="00621F41" w:rsidRDefault="00621F41" w:rsidP="00621F41">
      <w:pPr>
        <w:tabs>
          <w:tab w:val="left" w:pos="2520"/>
        </w:tabs>
        <w:spacing w:before="133"/>
        <w:ind w:left="567"/>
        <w:jc w:val="both"/>
        <w:rPr>
          <w:sz w:val="24"/>
          <w:szCs w:val="24"/>
        </w:rPr>
      </w:pPr>
    </w:p>
    <w:p w:rsidR="00621F41" w:rsidRPr="00621F41" w:rsidRDefault="00621F41" w:rsidP="00621F41">
      <w:pPr>
        <w:tabs>
          <w:tab w:val="left" w:pos="2520"/>
        </w:tabs>
        <w:spacing w:before="133"/>
        <w:ind w:left="567"/>
        <w:jc w:val="both"/>
        <w:rPr>
          <w:sz w:val="24"/>
          <w:szCs w:val="24"/>
        </w:rPr>
      </w:pPr>
    </w:p>
    <w:p w:rsidR="00261F26" w:rsidRPr="004522F8" w:rsidRDefault="00261F26" w:rsidP="004522F8">
      <w:pPr>
        <w:pStyle w:val="BodyText"/>
        <w:rPr>
          <w:sz w:val="11"/>
        </w:rPr>
      </w:pPr>
      <w:bookmarkStart w:id="15" w:name="Definitions"/>
      <w:bookmarkStart w:id="16" w:name="Review_Process_and_Endorsement"/>
      <w:bookmarkEnd w:id="15"/>
      <w:bookmarkEnd w:id="16"/>
    </w:p>
    <w:p w:rsidR="00261F26" w:rsidRDefault="00261F26" w:rsidP="005F28A6">
      <w:pPr>
        <w:pStyle w:val="BodyText"/>
        <w:ind w:left="1134"/>
        <w:rPr>
          <w:sz w:val="20"/>
        </w:rPr>
      </w:pPr>
    </w:p>
    <w:p w:rsidR="00261F26" w:rsidRDefault="00261F26" w:rsidP="00621F41">
      <w:pPr>
        <w:pStyle w:val="Heading1"/>
        <w:numPr>
          <w:ilvl w:val="0"/>
          <w:numId w:val="4"/>
        </w:numPr>
        <w:ind w:left="567" w:hanging="567"/>
      </w:pPr>
      <w:bookmarkStart w:id="17" w:name="Background/Legislation"/>
      <w:bookmarkEnd w:id="17"/>
      <w:r>
        <w:t>Legislation, Terminology and References</w:t>
      </w:r>
    </w:p>
    <w:p w:rsidR="00261F26" w:rsidRDefault="00261F26" w:rsidP="005F28A6">
      <w:pPr>
        <w:pStyle w:val="BodyText"/>
        <w:spacing w:before="11"/>
        <w:ind w:left="1134"/>
        <w:rPr>
          <w:b/>
          <w:sz w:val="20"/>
        </w:rPr>
      </w:pPr>
    </w:p>
    <w:p w:rsidR="00261F26" w:rsidRPr="00621F41" w:rsidRDefault="00261F26" w:rsidP="00621F41">
      <w:pPr>
        <w:pStyle w:val="BodyText"/>
        <w:ind w:left="567"/>
      </w:pPr>
      <w:r w:rsidRPr="00621F41">
        <w:t>The following legislation, circulars or guidelines are relevant to Councils when considering loan borrowing</w:t>
      </w:r>
      <w:r w:rsidR="004522F8" w:rsidRPr="00621F41">
        <w:t>:</w:t>
      </w:r>
    </w:p>
    <w:p w:rsidR="00261F26" w:rsidRDefault="00261F26" w:rsidP="005F28A6">
      <w:pPr>
        <w:pStyle w:val="ListParagraph"/>
        <w:numPr>
          <w:ilvl w:val="0"/>
          <w:numId w:val="2"/>
        </w:numPr>
        <w:tabs>
          <w:tab w:val="left" w:pos="2520"/>
        </w:tabs>
        <w:spacing w:before="136"/>
        <w:ind w:left="1134"/>
      </w:pPr>
      <w:r>
        <w:t>Tasmanian Local Government Act</w:t>
      </w:r>
      <w:r>
        <w:rPr>
          <w:spacing w:val="-40"/>
        </w:rPr>
        <w:t xml:space="preserve"> </w:t>
      </w:r>
      <w:r>
        <w:t>1993;</w:t>
      </w:r>
    </w:p>
    <w:p w:rsidR="00261F26" w:rsidRPr="004522F8" w:rsidRDefault="00261F26" w:rsidP="004522F8">
      <w:pPr>
        <w:pStyle w:val="ListParagraph"/>
        <w:numPr>
          <w:ilvl w:val="0"/>
          <w:numId w:val="2"/>
        </w:numPr>
        <w:tabs>
          <w:tab w:val="left" w:pos="2520"/>
        </w:tabs>
        <w:spacing w:before="133"/>
        <w:ind w:left="1134"/>
      </w:pPr>
      <w:r w:rsidRPr="001E43F5">
        <w:t>Tasmanian Trustee Act 1898</w:t>
      </w:r>
      <w:r w:rsidR="004522F8">
        <w:t xml:space="preserve">.  </w:t>
      </w:r>
    </w:p>
    <w:p w:rsidR="00F158A9" w:rsidRDefault="00F158A9" w:rsidP="005F28A6">
      <w:pPr>
        <w:pStyle w:val="ListParagraph"/>
        <w:tabs>
          <w:tab w:val="left" w:pos="2520"/>
        </w:tabs>
        <w:spacing w:before="133"/>
        <w:ind w:left="1134" w:firstLine="0"/>
      </w:pPr>
    </w:p>
    <w:p w:rsidR="00621F41" w:rsidRDefault="00621F41" w:rsidP="005F28A6">
      <w:pPr>
        <w:pStyle w:val="ListParagraph"/>
        <w:tabs>
          <w:tab w:val="left" w:pos="2520"/>
        </w:tabs>
        <w:spacing w:before="133"/>
        <w:ind w:left="1134" w:firstLine="0"/>
      </w:pPr>
    </w:p>
    <w:p w:rsidR="00621F41" w:rsidRDefault="00621F41" w:rsidP="005F28A6">
      <w:pPr>
        <w:pStyle w:val="ListParagraph"/>
        <w:tabs>
          <w:tab w:val="left" w:pos="2520"/>
        </w:tabs>
        <w:spacing w:before="133"/>
        <w:ind w:left="1134" w:firstLine="0"/>
      </w:pPr>
    </w:p>
    <w:p w:rsidR="00621F41" w:rsidRDefault="00621F41" w:rsidP="005F28A6">
      <w:pPr>
        <w:pStyle w:val="ListParagraph"/>
        <w:tabs>
          <w:tab w:val="left" w:pos="2520"/>
        </w:tabs>
        <w:spacing w:before="133"/>
        <w:ind w:left="1134" w:firstLine="0"/>
      </w:pPr>
    </w:p>
    <w:p w:rsidR="00621F41" w:rsidRDefault="00621F41" w:rsidP="005F28A6">
      <w:pPr>
        <w:pStyle w:val="ListParagraph"/>
        <w:tabs>
          <w:tab w:val="left" w:pos="2520"/>
        </w:tabs>
        <w:spacing w:before="133"/>
        <w:ind w:left="1134" w:firstLine="0"/>
      </w:pPr>
    </w:p>
    <w:p w:rsidR="00621F41" w:rsidRDefault="00621F41" w:rsidP="005F28A6">
      <w:pPr>
        <w:pStyle w:val="ListParagraph"/>
        <w:tabs>
          <w:tab w:val="left" w:pos="2520"/>
        </w:tabs>
        <w:spacing w:before="133"/>
        <w:ind w:left="1134" w:firstLine="0"/>
      </w:pPr>
    </w:p>
    <w:p w:rsidR="00621F41" w:rsidRDefault="00621F41" w:rsidP="005F28A6">
      <w:pPr>
        <w:pStyle w:val="ListParagraph"/>
        <w:tabs>
          <w:tab w:val="left" w:pos="2520"/>
        </w:tabs>
        <w:spacing w:before="133"/>
        <w:ind w:left="1134" w:firstLine="0"/>
      </w:pPr>
    </w:p>
    <w:p w:rsidR="00621F41" w:rsidRDefault="00621F41" w:rsidP="005F28A6">
      <w:pPr>
        <w:pStyle w:val="ListParagraph"/>
        <w:tabs>
          <w:tab w:val="left" w:pos="2520"/>
        </w:tabs>
        <w:spacing w:before="133"/>
        <w:ind w:left="1134" w:firstLine="0"/>
      </w:pPr>
    </w:p>
    <w:p w:rsidR="00621F41" w:rsidRDefault="00621F41" w:rsidP="005F28A6">
      <w:pPr>
        <w:pStyle w:val="ListParagraph"/>
        <w:tabs>
          <w:tab w:val="left" w:pos="2520"/>
        </w:tabs>
        <w:spacing w:before="133"/>
        <w:ind w:left="1134" w:firstLine="0"/>
      </w:pPr>
    </w:p>
    <w:p w:rsidR="00621F41" w:rsidRDefault="00621F41" w:rsidP="005F28A6">
      <w:pPr>
        <w:pStyle w:val="ListParagraph"/>
        <w:tabs>
          <w:tab w:val="left" w:pos="2520"/>
        </w:tabs>
        <w:spacing w:before="133"/>
        <w:ind w:left="1134" w:firstLine="0"/>
      </w:pPr>
    </w:p>
    <w:p w:rsidR="00621F41" w:rsidRDefault="00621F41" w:rsidP="005F28A6">
      <w:pPr>
        <w:pStyle w:val="ListParagraph"/>
        <w:tabs>
          <w:tab w:val="left" w:pos="2520"/>
        </w:tabs>
        <w:spacing w:before="133"/>
        <w:ind w:left="1134" w:firstLine="0"/>
      </w:pPr>
    </w:p>
    <w:p w:rsidR="00621F41" w:rsidRDefault="00621F41" w:rsidP="005F28A6">
      <w:pPr>
        <w:pStyle w:val="ListParagraph"/>
        <w:tabs>
          <w:tab w:val="left" w:pos="2520"/>
        </w:tabs>
        <w:spacing w:before="133"/>
        <w:ind w:left="1134" w:firstLine="0"/>
      </w:pPr>
    </w:p>
    <w:p w:rsidR="00621F41" w:rsidRDefault="00621F41" w:rsidP="005F28A6">
      <w:pPr>
        <w:pStyle w:val="ListParagraph"/>
        <w:tabs>
          <w:tab w:val="left" w:pos="2520"/>
        </w:tabs>
        <w:spacing w:before="133"/>
        <w:ind w:left="1134" w:firstLine="0"/>
      </w:pPr>
    </w:p>
    <w:p w:rsidR="00621F41" w:rsidRDefault="00621F41" w:rsidP="005F28A6">
      <w:pPr>
        <w:pStyle w:val="ListParagraph"/>
        <w:tabs>
          <w:tab w:val="left" w:pos="2520"/>
        </w:tabs>
        <w:spacing w:before="133"/>
        <w:ind w:left="1134" w:firstLine="0"/>
      </w:pPr>
    </w:p>
    <w:p w:rsidR="00621F41" w:rsidRDefault="00621F41" w:rsidP="005F28A6">
      <w:pPr>
        <w:pStyle w:val="ListParagraph"/>
        <w:tabs>
          <w:tab w:val="left" w:pos="2520"/>
        </w:tabs>
        <w:spacing w:before="133"/>
        <w:ind w:left="1134" w:firstLine="0"/>
      </w:pPr>
    </w:p>
    <w:p w:rsidR="00621F41" w:rsidRDefault="00621F41" w:rsidP="005F28A6">
      <w:pPr>
        <w:pStyle w:val="ListParagraph"/>
        <w:tabs>
          <w:tab w:val="left" w:pos="2520"/>
        </w:tabs>
        <w:spacing w:before="133"/>
        <w:ind w:left="1134" w:firstLine="0"/>
      </w:pPr>
    </w:p>
    <w:p w:rsidR="00621F41" w:rsidRDefault="00621F41" w:rsidP="005F28A6">
      <w:pPr>
        <w:pStyle w:val="ListParagraph"/>
        <w:tabs>
          <w:tab w:val="left" w:pos="2520"/>
        </w:tabs>
        <w:spacing w:before="133"/>
        <w:ind w:left="1134" w:firstLine="0"/>
      </w:pPr>
    </w:p>
    <w:p w:rsidR="00621F41" w:rsidRDefault="00621F41" w:rsidP="005F28A6">
      <w:pPr>
        <w:pStyle w:val="ListParagraph"/>
        <w:tabs>
          <w:tab w:val="left" w:pos="2520"/>
        </w:tabs>
        <w:spacing w:before="133"/>
        <w:ind w:left="1134" w:firstLine="0"/>
      </w:pPr>
    </w:p>
    <w:p w:rsidR="00621F41" w:rsidRDefault="00621F41" w:rsidP="005F28A6">
      <w:pPr>
        <w:pStyle w:val="ListParagraph"/>
        <w:tabs>
          <w:tab w:val="left" w:pos="2520"/>
        </w:tabs>
        <w:spacing w:before="133"/>
        <w:ind w:left="1134" w:firstLine="0"/>
      </w:pPr>
    </w:p>
    <w:p w:rsidR="00621F41" w:rsidRDefault="00621F41" w:rsidP="005F28A6">
      <w:pPr>
        <w:pStyle w:val="ListParagraph"/>
        <w:tabs>
          <w:tab w:val="left" w:pos="2520"/>
        </w:tabs>
        <w:spacing w:before="133"/>
        <w:ind w:left="1134" w:firstLine="0"/>
      </w:pPr>
    </w:p>
    <w:p w:rsidR="00621F41" w:rsidRDefault="00621F41" w:rsidP="005F28A6">
      <w:pPr>
        <w:pStyle w:val="ListParagraph"/>
        <w:tabs>
          <w:tab w:val="left" w:pos="2520"/>
        </w:tabs>
        <w:spacing w:before="133"/>
        <w:ind w:left="1134" w:firstLine="0"/>
      </w:pPr>
    </w:p>
    <w:p w:rsidR="00621F41" w:rsidRDefault="00621F41" w:rsidP="005F28A6">
      <w:pPr>
        <w:pStyle w:val="ListParagraph"/>
        <w:tabs>
          <w:tab w:val="left" w:pos="2520"/>
        </w:tabs>
        <w:spacing w:before="133"/>
        <w:ind w:left="1134" w:firstLine="0"/>
      </w:pPr>
    </w:p>
    <w:p w:rsidR="00621F41" w:rsidRDefault="00621F41" w:rsidP="005F28A6">
      <w:pPr>
        <w:pStyle w:val="ListParagraph"/>
        <w:tabs>
          <w:tab w:val="left" w:pos="2520"/>
        </w:tabs>
        <w:spacing w:before="133"/>
        <w:ind w:left="1134" w:firstLine="0"/>
      </w:pPr>
    </w:p>
    <w:p w:rsidR="00621F41" w:rsidRDefault="00621F41" w:rsidP="005F28A6">
      <w:pPr>
        <w:pStyle w:val="ListParagraph"/>
        <w:tabs>
          <w:tab w:val="left" w:pos="2520"/>
        </w:tabs>
        <w:spacing w:before="133"/>
        <w:ind w:left="1134" w:firstLine="0"/>
      </w:pPr>
    </w:p>
    <w:p w:rsidR="00621F41" w:rsidRPr="004522F8" w:rsidRDefault="00621F41" w:rsidP="005F28A6">
      <w:pPr>
        <w:pStyle w:val="ListParagraph"/>
        <w:tabs>
          <w:tab w:val="left" w:pos="2520"/>
        </w:tabs>
        <w:spacing w:before="133"/>
        <w:ind w:left="1134" w:firstLine="0"/>
      </w:pPr>
    </w:p>
    <w:p w:rsidR="00261F26" w:rsidRPr="004522F8" w:rsidRDefault="00261F26" w:rsidP="005F28A6">
      <w:pPr>
        <w:pStyle w:val="BodyText"/>
        <w:tabs>
          <w:tab w:val="right" w:pos="9030"/>
        </w:tabs>
        <w:spacing w:before="10"/>
        <w:ind w:left="1134"/>
        <w:rPr>
          <w:sz w:val="10"/>
        </w:rPr>
      </w:pPr>
    </w:p>
    <w:tbl>
      <w:tblPr>
        <w:tblW w:w="9869" w:type="dxa"/>
        <w:tblInd w:w="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72"/>
        <w:gridCol w:w="4897"/>
      </w:tblGrid>
      <w:tr w:rsidR="00681620" w:rsidRPr="004522F8" w:rsidTr="005F28A6">
        <w:trPr>
          <w:trHeight w:hRule="exact" w:val="360"/>
        </w:trPr>
        <w:tc>
          <w:tcPr>
            <w:tcW w:w="4972" w:type="dxa"/>
            <w:tcBorders>
              <w:left w:val="nil"/>
              <w:right w:val="nil"/>
            </w:tcBorders>
          </w:tcPr>
          <w:p w:rsidR="00681620" w:rsidRPr="004522F8" w:rsidRDefault="005760C9">
            <w:pPr>
              <w:pStyle w:val="TableParagraph"/>
              <w:spacing w:before="55"/>
              <w:ind w:left="122"/>
              <w:rPr>
                <w:b/>
                <w:sz w:val="20"/>
              </w:rPr>
            </w:pPr>
            <w:bookmarkStart w:id="18" w:name="1._Criteria_for_Investment"/>
            <w:bookmarkStart w:id="19" w:name="(i)_Safety_and_Security_–_Security_of_th"/>
            <w:bookmarkStart w:id="20" w:name="(ii)_Liquidity_–_Investments_must_be_man"/>
            <w:bookmarkStart w:id="21" w:name="(iii)_Rate_of_Return_–_Subject_to_the_tw"/>
            <w:bookmarkStart w:id="22" w:name="(iv)_Ethical_in_Nature_–_Subject_to_the_"/>
            <w:bookmarkStart w:id="23" w:name="2._Expected_Rate"/>
            <w:bookmarkStart w:id="24" w:name="The_performance_benchmark_is_the_90_day_"/>
            <w:bookmarkStart w:id="25" w:name="3._Delegated_Authority"/>
            <w:bookmarkStart w:id="26" w:name="The_Director_Financial_Services_is_deleg"/>
            <w:bookmarkStart w:id="27" w:name="4._Investment_Guidelines"/>
            <w:bookmarkStart w:id="28" w:name="(i)_Section_75_of_the_Local_Government_A"/>
            <w:bookmarkStart w:id="29" w:name="(ii)_Investments_may_be_made_for_any_per"/>
            <w:bookmarkStart w:id="30" w:name="(iii)_Investments_can_only_be_made_in_pr"/>
            <w:bookmarkStart w:id="31" w:name="(iv)_There_is_no_limit_on_the_amount_of_"/>
            <w:bookmarkStart w:id="32" w:name="(v)_Exposure_to_Council’s_transactional_"/>
            <w:bookmarkStart w:id="33" w:name="(vi)_Subject_to_item_4(v),_exposure_to_A"/>
            <w:bookmarkStart w:id="34" w:name="(vii)_Subject_to_item_4(vi)_exposure_to_"/>
            <w:bookmarkStart w:id="35" w:name="(viii)_Subject_to_item_4(vii)_exposure_t"/>
            <w:bookmarkStart w:id="36" w:name="(ix)_When_determining_the_level_of_expos"/>
            <w:bookmarkStart w:id="37" w:name="(x)_Where_a_banking_institution_is_a_sub"/>
            <w:bookmarkStart w:id="38" w:name="(xi)_For_any_fixed_term_investment,_whet"/>
            <w:bookmarkStart w:id="39" w:name="(xii)_Any_investment_outside_of_the_inve"/>
            <w:bookmarkStart w:id="40" w:name="5._Provision_of_Information_to_Aldermen"/>
            <w:bookmarkStart w:id="41" w:name="(i)_Details_of_all_current_investments_a"/>
            <w:bookmarkStart w:id="42" w:name="4._Legislation,_Terminology_and_Referenc"/>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4522F8">
              <w:rPr>
                <w:b/>
                <w:sz w:val="20"/>
              </w:rPr>
              <w:t>Responsible Officer:</w:t>
            </w:r>
          </w:p>
        </w:tc>
        <w:tc>
          <w:tcPr>
            <w:tcW w:w="4897" w:type="dxa"/>
            <w:tcBorders>
              <w:left w:val="nil"/>
              <w:right w:val="nil"/>
            </w:tcBorders>
          </w:tcPr>
          <w:p w:rsidR="00681620" w:rsidRPr="004522F8" w:rsidRDefault="005760C9">
            <w:pPr>
              <w:pStyle w:val="TableParagraph"/>
              <w:spacing w:before="57"/>
              <w:rPr>
                <w:sz w:val="20"/>
              </w:rPr>
            </w:pPr>
            <w:r w:rsidRPr="004522F8">
              <w:rPr>
                <w:sz w:val="20"/>
              </w:rPr>
              <w:t>Director Financial Services</w:t>
            </w:r>
          </w:p>
        </w:tc>
      </w:tr>
      <w:tr w:rsidR="00681620" w:rsidRPr="004522F8" w:rsidTr="005F28A6">
        <w:trPr>
          <w:trHeight w:hRule="exact" w:val="362"/>
        </w:trPr>
        <w:tc>
          <w:tcPr>
            <w:tcW w:w="4972" w:type="dxa"/>
            <w:tcBorders>
              <w:left w:val="nil"/>
              <w:bottom w:val="nil"/>
              <w:right w:val="nil"/>
            </w:tcBorders>
          </w:tcPr>
          <w:p w:rsidR="00681620" w:rsidRPr="004522F8" w:rsidRDefault="005760C9">
            <w:pPr>
              <w:pStyle w:val="TableParagraph"/>
              <w:spacing w:before="55"/>
              <w:ind w:left="122"/>
              <w:rPr>
                <w:b/>
                <w:sz w:val="20"/>
              </w:rPr>
            </w:pPr>
            <w:r w:rsidRPr="004522F8">
              <w:rPr>
                <w:b/>
                <w:sz w:val="20"/>
              </w:rPr>
              <w:t>Policy first adopted by the Council:</w:t>
            </w:r>
          </w:p>
        </w:tc>
        <w:tc>
          <w:tcPr>
            <w:tcW w:w="4897" w:type="dxa"/>
            <w:tcBorders>
              <w:left w:val="nil"/>
              <w:bottom w:val="nil"/>
              <w:right w:val="nil"/>
            </w:tcBorders>
          </w:tcPr>
          <w:p w:rsidR="00681620" w:rsidRPr="004522F8" w:rsidRDefault="006B3844">
            <w:pPr>
              <w:pStyle w:val="TableParagraph"/>
              <w:spacing w:before="57"/>
              <w:rPr>
                <w:sz w:val="20"/>
              </w:rPr>
            </w:pPr>
            <w:r>
              <w:rPr>
                <w:sz w:val="20"/>
              </w:rPr>
              <w:t>18</w:t>
            </w:r>
            <w:r w:rsidR="00261F26" w:rsidRPr="004522F8">
              <w:rPr>
                <w:sz w:val="20"/>
              </w:rPr>
              <w:t>/12/2017</w:t>
            </w:r>
          </w:p>
        </w:tc>
      </w:tr>
      <w:tr w:rsidR="00681620" w:rsidTr="005F28A6">
        <w:trPr>
          <w:trHeight w:hRule="exact" w:val="360"/>
        </w:trPr>
        <w:tc>
          <w:tcPr>
            <w:tcW w:w="4972" w:type="dxa"/>
            <w:tcBorders>
              <w:left w:val="nil"/>
              <w:right w:val="nil"/>
            </w:tcBorders>
          </w:tcPr>
          <w:p w:rsidR="00681620" w:rsidRPr="004522F8" w:rsidRDefault="005760C9">
            <w:pPr>
              <w:pStyle w:val="TableParagraph"/>
              <w:spacing w:before="54"/>
              <w:ind w:left="122"/>
              <w:rPr>
                <w:b/>
                <w:sz w:val="20"/>
              </w:rPr>
            </w:pPr>
            <w:r w:rsidRPr="004522F8">
              <w:rPr>
                <w:b/>
                <w:sz w:val="20"/>
              </w:rPr>
              <w:t>Next Review Date:</w:t>
            </w:r>
          </w:p>
        </w:tc>
        <w:tc>
          <w:tcPr>
            <w:tcW w:w="4897" w:type="dxa"/>
            <w:tcBorders>
              <w:left w:val="nil"/>
              <w:right w:val="nil"/>
            </w:tcBorders>
          </w:tcPr>
          <w:p w:rsidR="00681620" w:rsidRPr="004522F8" w:rsidRDefault="00F07C2D" w:rsidP="005F28A6">
            <w:pPr>
              <w:pStyle w:val="TableParagraph"/>
              <w:spacing w:before="57"/>
              <w:ind w:left="1496"/>
              <w:rPr>
                <w:sz w:val="20"/>
              </w:rPr>
            </w:pPr>
            <w:r>
              <w:rPr>
                <w:sz w:val="20"/>
              </w:rPr>
              <w:t>March</w:t>
            </w:r>
            <w:r w:rsidR="00261F26" w:rsidRPr="004522F8">
              <w:rPr>
                <w:sz w:val="20"/>
              </w:rPr>
              <w:t xml:space="preserve"> 2019</w:t>
            </w:r>
          </w:p>
        </w:tc>
      </w:tr>
    </w:tbl>
    <w:p w:rsidR="005514F2" w:rsidRDefault="005514F2" w:rsidP="005F28A6">
      <w:pPr>
        <w:ind w:left="1134"/>
      </w:pPr>
    </w:p>
    <w:sectPr w:rsidR="005514F2" w:rsidSect="004C35E4">
      <w:headerReference w:type="default" r:id="rId7"/>
      <w:footerReference w:type="default" r:id="rId8"/>
      <w:pgSz w:w="11910" w:h="16840"/>
      <w:pgMar w:top="720" w:right="720" w:bottom="720" w:left="720" w:header="0" w:footer="140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4FC" w:rsidRDefault="001914FC">
      <w:r>
        <w:separator/>
      </w:r>
    </w:p>
  </w:endnote>
  <w:endnote w:type="continuationSeparator" w:id="0">
    <w:p w:rsidR="001914FC" w:rsidRDefault="00191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Std 47 Light Cn">
    <w:altName w:val="Frutiger LT Std 47 Light C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620" w:rsidRDefault="005760C9">
    <w:pPr>
      <w:pStyle w:val="BodyText"/>
      <w:spacing w:line="14" w:lineRule="auto"/>
      <w:rPr>
        <w:sz w:val="20"/>
      </w:rPr>
    </w:pPr>
    <w:r>
      <w:rPr>
        <w:noProof/>
        <w:lang w:val="en-AU" w:eastAsia="en-AU"/>
      </w:rPr>
      <w:drawing>
        <wp:anchor distT="0" distB="0" distL="0" distR="0" simplePos="0" relativeHeight="251660288" behindDoc="1" locked="0" layoutInCell="1" allowOverlap="1">
          <wp:simplePos x="0" y="0"/>
          <wp:positionH relativeFrom="page">
            <wp:posOffset>6285863</wp:posOffset>
          </wp:positionH>
          <wp:positionV relativeFrom="page">
            <wp:posOffset>9672354</wp:posOffset>
          </wp:positionV>
          <wp:extent cx="914399" cy="635507"/>
          <wp:effectExtent l="0" t="0" r="0" b="0"/>
          <wp:wrapNone/>
          <wp:docPr id="3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914399" cy="635507"/>
                  </a:xfrm>
                  <a:prstGeom prst="rect">
                    <a:avLst/>
                  </a:prstGeom>
                </pic:spPr>
              </pic:pic>
            </a:graphicData>
          </a:graphic>
        </wp:anchor>
      </w:drawing>
    </w:r>
    <w:r w:rsidR="00BE1249">
      <w:rPr>
        <w:noProof/>
        <w:lang w:val="en-AU" w:eastAsia="en-AU"/>
      </w:rPr>
      <mc:AlternateContent>
        <mc:Choice Requires="wps">
          <w:drawing>
            <wp:anchor distT="0" distB="0" distL="114300" distR="114300" simplePos="0" relativeHeight="503309600" behindDoc="1" locked="0" layoutInCell="1" allowOverlap="1">
              <wp:simplePos x="0" y="0"/>
              <wp:positionH relativeFrom="page">
                <wp:posOffset>3294380</wp:posOffset>
              </wp:positionH>
              <wp:positionV relativeFrom="page">
                <wp:posOffset>10201275</wp:posOffset>
              </wp:positionV>
              <wp:extent cx="612140" cy="139700"/>
              <wp:effectExtent l="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1620" w:rsidRDefault="005760C9">
                          <w:pPr>
                            <w:spacing w:line="204" w:lineRule="exact"/>
                            <w:ind w:left="20"/>
                            <w:rPr>
                              <w:sz w:val="18"/>
                            </w:rPr>
                          </w:pPr>
                          <w:r>
                            <w:rPr>
                              <w:sz w:val="18"/>
                            </w:rPr>
                            <w:t xml:space="preserve">Page </w:t>
                          </w:r>
                          <w:r>
                            <w:fldChar w:fldCharType="begin"/>
                          </w:r>
                          <w:r>
                            <w:rPr>
                              <w:sz w:val="18"/>
                            </w:rPr>
                            <w:instrText xml:space="preserve"> PAGE </w:instrText>
                          </w:r>
                          <w:r>
                            <w:fldChar w:fldCharType="separate"/>
                          </w:r>
                          <w:r w:rsidR="0034184C">
                            <w:rPr>
                              <w:noProof/>
                              <w:sz w:val="18"/>
                            </w:rPr>
                            <w:t>1</w:t>
                          </w:r>
                          <w:r>
                            <w:fldChar w:fldCharType="end"/>
                          </w:r>
                          <w:r>
                            <w:rPr>
                              <w:sz w:val="18"/>
                            </w:rP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9.4pt;margin-top:803.25pt;width:48.2pt;height:11pt;z-index:-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" filled="f" stroked="f">
              <v:textbox inset="0,0,0,0">
                <w:txbxContent>
                  <w:p w:rsidR="00681620" w:rsidRDefault="005760C9">
                    <w:pPr>
                      <w:spacing w:line="204" w:lineRule="exact"/>
                      <w:ind w:left="20"/>
                      <w:rPr>
                        <w:sz w:val="18"/>
                      </w:rPr>
                    </w:pPr>
                    <w:r>
                      <w:rPr>
                        <w:sz w:val="18"/>
                      </w:rPr>
                      <w:t xml:space="preserve">Page </w:t>
                    </w:r>
                    <w:r>
                      <w:fldChar w:fldCharType="begin"/>
                    </w:r>
                    <w:r>
                      <w:rPr>
                        <w:sz w:val="18"/>
                      </w:rPr>
                      <w:instrText xml:space="preserve"> PAGE </w:instrText>
                    </w:r>
                    <w:r>
                      <w:fldChar w:fldCharType="separate"/>
                    </w:r>
                    <w:r w:rsidR="0034184C">
                      <w:rPr>
                        <w:noProof/>
                        <w:sz w:val="18"/>
                      </w:rPr>
                      <w:t>1</w:t>
                    </w:r>
                    <w:r>
                      <w:fldChar w:fldCharType="end"/>
                    </w:r>
                    <w:r>
                      <w:rPr>
                        <w:sz w:val="18"/>
                      </w:rPr>
                      <w:t xml:space="preserve"> of 3</w:t>
                    </w:r>
                  </w:p>
                </w:txbxContent>
              </v:textbox>
              <w10:wrap anchorx="page" anchory="page"/>
            </v:shape>
          </w:pict>
        </mc:Fallback>
      </mc:AlternateContent>
    </w:r>
    <w:r w:rsidR="00BE1249">
      <w:rPr>
        <w:noProof/>
        <w:lang w:val="en-AU" w:eastAsia="en-AU"/>
      </w:rPr>
      <mc:AlternateContent>
        <mc:Choice Requires="wps">
          <w:drawing>
            <wp:anchor distT="0" distB="0" distL="114300" distR="114300" simplePos="0" relativeHeight="503309624" behindDoc="1" locked="0" layoutInCell="1" allowOverlap="1">
              <wp:simplePos x="0" y="0"/>
              <wp:positionH relativeFrom="page">
                <wp:posOffset>375920</wp:posOffset>
              </wp:positionH>
              <wp:positionV relativeFrom="page">
                <wp:posOffset>10211435</wp:posOffset>
              </wp:positionV>
              <wp:extent cx="1076960" cy="127635"/>
              <wp:effectExtent l="4445" t="635"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1620" w:rsidRDefault="0034184C">
                          <w:pPr>
                            <w:ind w:left="20"/>
                            <w:rPr>
                              <w:sz w:val="16"/>
                            </w:rPr>
                          </w:pPr>
                          <w:hyperlink r:id="rId2">
                            <w:r w:rsidR="005760C9">
                              <w:rPr>
                                <w:color w:val="0000FF"/>
                                <w:sz w:val="16"/>
                                <w:u w:val="single" w:color="0000FF"/>
                              </w:rPr>
                              <w:t>www.hobartcity.com.au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29.6pt;margin-top:804.05pt;width:84.8pt;height:10.05pt;z-index:-6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" filled="f" stroked="f">
              <v:textbox inset="0,0,0,0">
                <w:txbxContent>
                  <w:p w:rsidR="00681620" w:rsidRDefault="00A96539">
                    <w:pPr>
                      <w:ind w:left="20"/>
                      <w:rPr>
                        <w:sz w:val="16"/>
                      </w:rPr>
                    </w:pPr>
                    <w:hyperlink r:id="rId3">
                      <w:r w:rsidR="005760C9">
                        <w:rPr>
                          <w:color w:val="0000FF"/>
                          <w:sz w:val="16"/>
                          <w:u w:val="single" w:color="0000FF"/>
                        </w:rPr>
                        <w:t>www.hobartcity.com.au</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4FC" w:rsidRDefault="001914FC">
      <w:r>
        <w:separator/>
      </w:r>
    </w:p>
  </w:footnote>
  <w:footnote w:type="continuationSeparator" w:id="0">
    <w:p w:rsidR="001914FC" w:rsidRDefault="001914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620" w:rsidRDefault="005760C9">
    <w:pPr>
      <w:pStyle w:val="BodyText"/>
      <w:spacing w:line="14" w:lineRule="auto"/>
      <w:rPr>
        <w:sz w:val="20"/>
      </w:rPr>
    </w:pPr>
    <w:r>
      <w:rPr>
        <w:noProof/>
        <w:lang w:val="en-AU" w:eastAsia="en-AU"/>
      </w:rPr>
      <w:drawing>
        <wp:anchor distT="0" distB="0" distL="0" distR="0" simplePos="0" relativeHeight="251657216" behindDoc="1" locked="0" layoutInCell="1" allowOverlap="1">
          <wp:simplePos x="0" y="0"/>
          <wp:positionH relativeFrom="page">
            <wp:posOffset>0</wp:posOffset>
          </wp:positionH>
          <wp:positionV relativeFrom="page">
            <wp:posOffset>0</wp:posOffset>
          </wp:positionV>
          <wp:extent cx="7559999" cy="1093431"/>
          <wp:effectExtent l="0" t="0" r="0" b="0"/>
          <wp:wrapNone/>
          <wp:docPr id="32" name="image1.png" descr="CoH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559999" cy="1093431"/>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D52EE"/>
    <w:multiLevelType w:val="hybridMultilevel"/>
    <w:tmpl w:val="83665DD2"/>
    <w:lvl w:ilvl="0" w:tplc="E02A278A">
      <w:start w:val="19"/>
      <w:numFmt w:val="bullet"/>
      <w:lvlText w:val="-"/>
      <w:lvlJc w:val="left"/>
      <w:pPr>
        <w:ind w:left="720" w:hanging="360"/>
      </w:pPr>
      <w:rPr>
        <w:rFonts w:ascii="Arial" w:eastAsia="Calibri" w:hAnsi="Arial" w:cs="Arial" w:hint="default"/>
        <w:w w:val="129"/>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515C7A"/>
    <w:multiLevelType w:val="hybridMultilevel"/>
    <w:tmpl w:val="33E406BC"/>
    <w:lvl w:ilvl="0" w:tplc="94E0C656">
      <w:start w:val="1"/>
      <w:numFmt w:val="decimal"/>
      <w:lvlText w:val="%1."/>
      <w:lvlJc w:val="left"/>
      <w:pPr>
        <w:ind w:left="1287" w:hanging="567"/>
      </w:pPr>
      <w:rPr>
        <w:rFonts w:ascii="Arial" w:eastAsia="Arial" w:hAnsi="Arial" w:cs="Arial" w:hint="default"/>
        <w:b/>
        <w:bCs/>
        <w:w w:val="99"/>
        <w:sz w:val="32"/>
        <w:szCs w:val="32"/>
      </w:rPr>
    </w:lvl>
    <w:lvl w:ilvl="1" w:tplc="5ECC4444">
      <w:start w:val="1"/>
      <w:numFmt w:val="decimal"/>
      <w:lvlText w:val="%2."/>
      <w:lvlJc w:val="left"/>
      <w:pPr>
        <w:ind w:left="1853" w:hanging="567"/>
      </w:pPr>
      <w:rPr>
        <w:rFonts w:ascii="Arial" w:eastAsia="Arial" w:hAnsi="Arial" w:cs="Arial" w:hint="default"/>
        <w:spacing w:val="-4"/>
        <w:w w:val="99"/>
        <w:sz w:val="24"/>
        <w:szCs w:val="24"/>
      </w:rPr>
    </w:lvl>
    <w:lvl w:ilvl="2" w:tplc="0C090001">
      <w:start w:val="1"/>
      <w:numFmt w:val="bullet"/>
      <w:lvlText w:val=""/>
      <w:lvlJc w:val="left"/>
      <w:pPr>
        <w:ind w:left="2422" w:hanging="569"/>
      </w:pPr>
      <w:rPr>
        <w:rFonts w:ascii="Symbol" w:hAnsi="Symbol" w:hint="default"/>
        <w:spacing w:val="-3"/>
        <w:w w:val="99"/>
        <w:sz w:val="24"/>
        <w:szCs w:val="24"/>
      </w:rPr>
    </w:lvl>
    <w:lvl w:ilvl="3" w:tplc="62EA4AA4">
      <w:start w:val="1"/>
      <w:numFmt w:val="bullet"/>
      <w:lvlText w:val="•"/>
      <w:lvlJc w:val="left"/>
      <w:pPr>
        <w:ind w:left="3561" w:hanging="569"/>
      </w:pPr>
      <w:rPr>
        <w:rFonts w:hint="default"/>
      </w:rPr>
    </w:lvl>
    <w:lvl w:ilvl="4" w:tplc="D08C2D6A">
      <w:start w:val="1"/>
      <w:numFmt w:val="bullet"/>
      <w:lvlText w:val="•"/>
      <w:lvlJc w:val="left"/>
      <w:pPr>
        <w:ind w:left="4694" w:hanging="569"/>
      </w:pPr>
      <w:rPr>
        <w:rFonts w:hint="default"/>
      </w:rPr>
    </w:lvl>
    <w:lvl w:ilvl="5" w:tplc="A7668AE0">
      <w:start w:val="1"/>
      <w:numFmt w:val="bullet"/>
      <w:lvlText w:val="•"/>
      <w:lvlJc w:val="left"/>
      <w:pPr>
        <w:ind w:left="5827" w:hanging="569"/>
      </w:pPr>
      <w:rPr>
        <w:rFonts w:hint="default"/>
      </w:rPr>
    </w:lvl>
    <w:lvl w:ilvl="6" w:tplc="464067C2">
      <w:start w:val="1"/>
      <w:numFmt w:val="bullet"/>
      <w:lvlText w:val="•"/>
      <w:lvlJc w:val="left"/>
      <w:pPr>
        <w:ind w:left="6961" w:hanging="569"/>
      </w:pPr>
      <w:rPr>
        <w:rFonts w:hint="default"/>
      </w:rPr>
    </w:lvl>
    <w:lvl w:ilvl="7" w:tplc="D3C238F6">
      <w:start w:val="1"/>
      <w:numFmt w:val="bullet"/>
      <w:lvlText w:val="•"/>
      <w:lvlJc w:val="left"/>
      <w:pPr>
        <w:ind w:left="8094" w:hanging="569"/>
      </w:pPr>
      <w:rPr>
        <w:rFonts w:hint="default"/>
      </w:rPr>
    </w:lvl>
    <w:lvl w:ilvl="8" w:tplc="85580DE4">
      <w:start w:val="1"/>
      <w:numFmt w:val="bullet"/>
      <w:lvlText w:val="•"/>
      <w:lvlJc w:val="left"/>
      <w:pPr>
        <w:ind w:left="9227" w:hanging="569"/>
      </w:pPr>
      <w:rPr>
        <w:rFonts w:hint="default"/>
      </w:rPr>
    </w:lvl>
  </w:abstractNum>
  <w:abstractNum w:abstractNumId="2" w15:restartNumberingAfterBreak="0">
    <w:nsid w:val="2AF65FE3"/>
    <w:multiLevelType w:val="hybridMultilevel"/>
    <w:tmpl w:val="A74C9D54"/>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63F038F7"/>
    <w:multiLevelType w:val="hybridMultilevel"/>
    <w:tmpl w:val="994A37C6"/>
    <w:lvl w:ilvl="0" w:tplc="CE8E951C">
      <w:start w:val="1"/>
      <w:numFmt w:val="bullet"/>
      <w:lvlText w:val="•"/>
      <w:lvlJc w:val="left"/>
      <w:pPr>
        <w:ind w:left="2520" w:hanging="360"/>
      </w:pPr>
      <w:rPr>
        <w:rFonts w:ascii="Arial" w:eastAsia="Arial" w:hAnsi="Arial" w:cs="Arial" w:hint="default"/>
        <w:w w:val="129"/>
        <w:sz w:val="22"/>
        <w:szCs w:val="22"/>
      </w:rPr>
    </w:lvl>
    <w:lvl w:ilvl="1" w:tplc="FA181136">
      <w:start w:val="1"/>
      <w:numFmt w:val="bullet"/>
      <w:lvlText w:val="o"/>
      <w:lvlJc w:val="left"/>
      <w:pPr>
        <w:ind w:left="3240" w:hanging="360"/>
      </w:pPr>
      <w:rPr>
        <w:rFonts w:ascii="Courier New" w:eastAsia="Courier New" w:hAnsi="Courier New" w:cs="Courier New" w:hint="default"/>
        <w:w w:val="99"/>
        <w:sz w:val="22"/>
        <w:szCs w:val="22"/>
      </w:rPr>
    </w:lvl>
    <w:lvl w:ilvl="2" w:tplc="C65EA332">
      <w:start w:val="1"/>
      <w:numFmt w:val="bullet"/>
      <w:lvlText w:val="•"/>
      <w:lvlJc w:val="left"/>
      <w:pPr>
        <w:ind w:left="4202" w:hanging="360"/>
      </w:pPr>
      <w:rPr>
        <w:rFonts w:hint="default"/>
      </w:rPr>
    </w:lvl>
    <w:lvl w:ilvl="3" w:tplc="335492A6">
      <w:start w:val="1"/>
      <w:numFmt w:val="bullet"/>
      <w:lvlText w:val="•"/>
      <w:lvlJc w:val="left"/>
      <w:pPr>
        <w:ind w:left="5165" w:hanging="360"/>
      </w:pPr>
      <w:rPr>
        <w:rFonts w:hint="default"/>
      </w:rPr>
    </w:lvl>
    <w:lvl w:ilvl="4" w:tplc="62B2AFE2">
      <w:start w:val="1"/>
      <w:numFmt w:val="bullet"/>
      <w:lvlText w:val="•"/>
      <w:lvlJc w:val="left"/>
      <w:pPr>
        <w:ind w:left="6128" w:hanging="360"/>
      </w:pPr>
      <w:rPr>
        <w:rFonts w:hint="default"/>
      </w:rPr>
    </w:lvl>
    <w:lvl w:ilvl="5" w:tplc="120A7160">
      <w:start w:val="1"/>
      <w:numFmt w:val="bullet"/>
      <w:lvlText w:val="•"/>
      <w:lvlJc w:val="left"/>
      <w:pPr>
        <w:ind w:left="7090" w:hanging="360"/>
      </w:pPr>
      <w:rPr>
        <w:rFonts w:hint="default"/>
      </w:rPr>
    </w:lvl>
    <w:lvl w:ilvl="6" w:tplc="06A684C2">
      <w:start w:val="1"/>
      <w:numFmt w:val="bullet"/>
      <w:lvlText w:val="•"/>
      <w:lvlJc w:val="left"/>
      <w:pPr>
        <w:ind w:left="8053" w:hanging="360"/>
      </w:pPr>
      <w:rPr>
        <w:rFonts w:hint="default"/>
      </w:rPr>
    </w:lvl>
    <w:lvl w:ilvl="7" w:tplc="9892809E">
      <w:start w:val="1"/>
      <w:numFmt w:val="bullet"/>
      <w:lvlText w:val="•"/>
      <w:lvlJc w:val="left"/>
      <w:pPr>
        <w:ind w:left="9016" w:hanging="360"/>
      </w:pPr>
      <w:rPr>
        <w:rFonts w:hint="default"/>
      </w:rPr>
    </w:lvl>
    <w:lvl w:ilvl="8" w:tplc="C2FE1F38">
      <w:start w:val="1"/>
      <w:numFmt w:val="bullet"/>
      <w:lvlText w:val="•"/>
      <w:lvlJc w:val="left"/>
      <w:pPr>
        <w:ind w:left="9978" w:hanging="36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620"/>
    <w:rsid w:val="00016DDE"/>
    <w:rsid w:val="000238BE"/>
    <w:rsid w:val="000F415C"/>
    <w:rsid w:val="000F5DF5"/>
    <w:rsid w:val="001224DB"/>
    <w:rsid w:val="001914FC"/>
    <w:rsid w:val="001F6825"/>
    <w:rsid w:val="00261F26"/>
    <w:rsid w:val="002778C0"/>
    <w:rsid w:val="002E5DA3"/>
    <w:rsid w:val="00327631"/>
    <w:rsid w:val="0034184C"/>
    <w:rsid w:val="003E5D48"/>
    <w:rsid w:val="004522F8"/>
    <w:rsid w:val="004C35E4"/>
    <w:rsid w:val="005514F2"/>
    <w:rsid w:val="005760C9"/>
    <w:rsid w:val="00583B47"/>
    <w:rsid w:val="005F28A6"/>
    <w:rsid w:val="00621F41"/>
    <w:rsid w:val="006433AE"/>
    <w:rsid w:val="006721D2"/>
    <w:rsid w:val="00681620"/>
    <w:rsid w:val="006B3844"/>
    <w:rsid w:val="006D265C"/>
    <w:rsid w:val="006F5AA3"/>
    <w:rsid w:val="00776FD1"/>
    <w:rsid w:val="007F7EF7"/>
    <w:rsid w:val="008B4286"/>
    <w:rsid w:val="008C619B"/>
    <w:rsid w:val="00926150"/>
    <w:rsid w:val="00930941"/>
    <w:rsid w:val="00954F32"/>
    <w:rsid w:val="00982C1A"/>
    <w:rsid w:val="009B05EA"/>
    <w:rsid w:val="00A25BAB"/>
    <w:rsid w:val="00A96539"/>
    <w:rsid w:val="00B53699"/>
    <w:rsid w:val="00BE1249"/>
    <w:rsid w:val="00CB6BC3"/>
    <w:rsid w:val="00DC062C"/>
    <w:rsid w:val="00E12AF6"/>
    <w:rsid w:val="00F07C2D"/>
    <w:rsid w:val="00F158A9"/>
    <w:rsid w:val="00F267AB"/>
    <w:rsid w:val="00FA05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12013C0-8C88-4756-AAB0-E81D63F9C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699" w:hanging="567"/>
      <w:outlineLvl w:val="0"/>
    </w:pPr>
    <w:rPr>
      <w:b/>
      <w:bCs/>
      <w:sz w:val="32"/>
      <w:szCs w:val="32"/>
    </w:rPr>
  </w:style>
  <w:style w:type="paragraph" w:styleId="Heading2">
    <w:name w:val="heading 2"/>
    <w:basedOn w:val="Normal"/>
    <w:uiPriority w:val="1"/>
    <w:qFormat/>
    <w:pPr>
      <w:ind w:left="2265" w:hanging="566"/>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834" w:hanging="569"/>
    </w:pPr>
  </w:style>
  <w:style w:type="paragraph" w:customStyle="1" w:styleId="TableParagraph">
    <w:name w:val="Table Paragraph"/>
    <w:basedOn w:val="Normal"/>
    <w:uiPriority w:val="1"/>
    <w:qFormat/>
    <w:pPr>
      <w:spacing w:before="49"/>
      <w:ind w:left="1495"/>
    </w:pPr>
  </w:style>
  <w:style w:type="table" w:styleId="TableGrid">
    <w:name w:val="Table Grid"/>
    <w:basedOn w:val="TableNormal"/>
    <w:uiPriority w:val="39"/>
    <w:rsid w:val="00023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5">
    <w:name w:val="Pa15"/>
    <w:basedOn w:val="Normal"/>
    <w:next w:val="Normal"/>
    <w:uiPriority w:val="99"/>
    <w:rsid w:val="001224DB"/>
    <w:pPr>
      <w:widowControl/>
      <w:autoSpaceDE w:val="0"/>
      <w:autoSpaceDN w:val="0"/>
      <w:adjustRightInd w:val="0"/>
      <w:spacing w:line="201" w:lineRule="atLeast"/>
    </w:pPr>
    <w:rPr>
      <w:rFonts w:ascii="Frutiger LT Std 47 Light Cn" w:eastAsiaTheme="minorHAnsi" w:hAnsi="Frutiger LT Std 47 Light Cn" w:cstheme="minorBidi"/>
      <w:sz w:val="24"/>
      <w:szCs w:val="24"/>
      <w:lang w:val="en-AU"/>
    </w:rPr>
  </w:style>
  <w:style w:type="paragraph" w:customStyle="1" w:styleId="Pa44">
    <w:name w:val="Pa44"/>
    <w:basedOn w:val="Normal"/>
    <w:next w:val="Normal"/>
    <w:uiPriority w:val="99"/>
    <w:rsid w:val="001224DB"/>
    <w:pPr>
      <w:widowControl/>
      <w:autoSpaceDE w:val="0"/>
      <w:autoSpaceDN w:val="0"/>
      <w:adjustRightInd w:val="0"/>
      <w:spacing w:line="201" w:lineRule="atLeast"/>
    </w:pPr>
    <w:rPr>
      <w:rFonts w:ascii="Frutiger LT Std 47 Light Cn" w:eastAsiaTheme="minorHAnsi" w:hAnsi="Frutiger LT Std 47 Light Cn" w:cstheme="minorBidi"/>
      <w:sz w:val="24"/>
      <w:szCs w:val="24"/>
      <w:lang w:val="en-AU"/>
    </w:rPr>
  </w:style>
  <w:style w:type="paragraph" w:styleId="BalloonText">
    <w:name w:val="Balloon Text"/>
    <w:basedOn w:val="Normal"/>
    <w:link w:val="BalloonTextChar"/>
    <w:uiPriority w:val="99"/>
    <w:semiHidden/>
    <w:unhideWhenUsed/>
    <w:rsid w:val="004C35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5E4"/>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hobartcity.com.au/" TargetMode="External"/><Relationship Id="rId2" Type="http://schemas.openxmlformats.org/officeDocument/2006/relationships/hyperlink" Target="http://www.hobartcity.com.au/"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36E7DB28</Template>
  <TotalTime>17</TotalTime>
  <Pages>3</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Davis</dc:creator>
  <cp:lastModifiedBy>Cornish, Sarah</cp:lastModifiedBy>
  <cp:revision>10</cp:revision>
  <cp:lastPrinted>2017-11-28T01:26:00Z</cp:lastPrinted>
  <dcterms:created xsi:type="dcterms:W3CDTF">2017-12-03T23:01:00Z</dcterms:created>
  <dcterms:modified xsi:type="dcterms:W3CDTF">2017-12-19T23:27:00Z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2016-04-22T00:00:00Z</vt:filetime>
  </property>
  <property fmtid="{D5CDD505-2E9C-101B-9397-08002B2CF9AE}" pid="3" name="Creator">
    <vt:lpwstr>Acrobat PDFMaker 11 for Word</vt:lpwstr>
  </property>
  <property fmtid="{D5CDD505-2E9C-101B-9397-08002B2CF9AE}" pid="4" name="LastSaved">
    <vt:filetime>2017-10-25T00:00:00Z</vt:filetime>
  </property>
</Properties>
</file>