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4DCEF" w14:textId="77777777" w:rsidR="00FD260C" w:rsidRPr="00EC67B5" w:rsidRDefault="00D54B75" w:rsidP="00626768">
      <w:pPr>
        <w:pStyle w:val="Heading1"/>
        <w:keepNext w:val="0"/>
        <w:keepLines w:val="0"/>
        <w:spacing w:after="240"/>
      </w:pPr>
      <w:bookmarkStart w:id="0" w:name="_GoBack"/>
      <w:bookmarkEnd w:id="0"/>
      <w:r w:rsidRPr="00EC67B5">
        <w:t>City of Hobart</w:t>
      </w:r>
    </w:p>
    <w:p w14:paraId="105CA31B" w14:textId="77777777" w:rsidR="00D54B75" w:rsidRPr="001A1998" w:rsidRDefault="00EC67B5" w:rsidP="00626768">
      <w:pPr>
        <w:pStyle w:val="Heading2"/>
        <w:spacing w:after="240"/>
      </w:pPr>
      <w:r>
        <w:t>Policy</w:t>
      </w:r>
    </w:p>
    <w:p w14:paraId="4CE9F409" w14:textId="77777777" w:rsidR="00C52048" w:rsidRDefault="00C92435" w:rsidP="00C52048">
      <w:pPr>
        <w:pStyle w:val="Heading3"/>
        <w:ind w:left="2835" w:hanging="2835"/>
        <w:rPr>
          <w:rFonts w:cs="Arial"/>
          <w:szCs w:val="26"/>
          <w:lang w:val="en-US"/>
        </w:rPr>
      </w:pPr>
      <w:r>
        <w:rPr>
          <w:szCs w:val="32"/>
        </w:rPr>
        <w:t>Title:</w:t>
      </w:r>
      <w:r>
        <w:rPr>
          <w:szCs w:val="32"/>
        </w:rPr>
        <w:tab/>
      </w:r>
      <w:r w:rsidR="0097026D" w:rsidRPr="006129CC">
        <w:rPr>
          <w:rFonts w:cs="Arial"/>
          <w:szCs w:val="26"/>
          <w:lang w:val="en-US"/>
        </w:rPr>
        <w:t xml:space="preserve">Applications for Grants </w:t>
      </w:r>
      <w:r w:rsidR="00C52048">
        <w:rPr>
          <w:rFonts w:cs="Arial"/>
          <w:szCs w:val="26"/>
          <w:lang w:val="en-US"/>
        </w:rPr>
        <w:t>–</w:t>
      </w:r>
    </w:p>
    <w:p w14:paraId="4643E412" w14:textId="0ECF3CF3" w:rsidR="00D54B75" w:rsidRDefault="0097026D" w:rsidP="007A7E1A">
      <w:pPr>
        <w:pStyle w:val="Heading3"/>
        <w:spacing w:after="240"/>
        <w:ind w:left="2835"/>
        <w:rPr>
          <w:rFonts w:cs="Arial"/>
          <w:szCs w:val="26"/>
          <w:lang w:val="en-US"/>
        </w:rPr>
      </w:pPr>
      <w:r>
        <w:rPr>
          <w:rFonts w:cs="Arial"/>
          <w:szCs w:val="26"/>
          <w:lang w:val="en-US"/>
        </w:rPr>
        <w:t>Community</w:t>
      </w:r>
      <w:r w:rsidR="00F731D9">
        <w:rPr>
          <w:rFonts w:cs="Arial"/>
          <w:szCs w:val="26"/>
          <w:lang w:val="en-US"/>
        </w:rPr>
        <w:t xml:space="preserve"> and </w:t>
      </w:r>
      <w:r w:rsidR="008C6513">
        <w:rPr>
          <w:rFonts w:cs="Arial"/>
          <w:szCs w:val="26"/>
          <w:lang w:val="en-US"/>
        </w:rPr>
        <w:t>Marketing</w:t>
      </w:r>
    </w:p>
    <w:p w14:paraId="35916879" w14:textId="77777777" w:rsidR="004B2E4E" w:rsidRDefault="00C92435" w:rsidP="00C92435">
      <w:pPr>
        <w:pStyle w:val="Heading4"/>
        <w:spacing w:after="240"/>
        <w:ind w:left="2835" w:hanging="2835"/>
      </w:pPr>
      <w:r>
        <w:t>Category:</w:t>
      </w:r>
      <w:r>
        <w:tab/>
      </w:r>
      <w:r w:rsidR="0097026D">
        <w:t>Community Services and Events</w:t>
      </w:r>
    </w:p>
    <w:p w14:paraId="2661ACF2" w14:textId="3AF6C433" w:rsidR="0094711F" w:rsidRPr="00C92435" w:rsidRDefault="00C92435" w:rsidP="00C92435">
      <w:pPr>
        <w:pStyle w:val="Heading5"/>
        <w:spacing w:after="240"/>
        <w:ind w:left="2835" w:hanging="2835"/>
        <w:rPr>
          <w:sz w:val="28"/>
          <w:szCs w:val="28"/>
        </w:rPr>
      </w:pPr>
      <w:r>
        <w:rPr>
          <w:sz w:val="28"/>
          <w:szCs w:val="28"/>
        </w:rPr>
        <w:t>Date Last Adopted:</w:t>
      </w:r>
      <w:r w:rsidR="001904A7" w:rsidRPr="00C92435">
        <w:rPr>
          <w:sz w:val="28"/>
          <w:szCs w:val="28"/>
        </w:rPr>
        <w:tab/>
      </w:r>
      <w:r w:rsidR="00446018">
        <w:rPr>
          <w:sz w:val="28"/>
          <w:szCs w:val="28"/>
        </w:rPr>
        <w:t>1</w:t>
      </w:r>
      <w:r w:rsidR="00FA2F43">
        <w:rPr>
          <w:sz w:val="28"/>
          <w:szCs w:val="28"/>
        </w:rPr>
        <w:t>8</w:t>
      </w:r>
      <w:r w:rsidR="00446018">
        <w:rPr>
          <w:sz w:val="28"/>
          <w:szCs w:val="28"/>
        </w:rPr>
        <w:t xml:space="preserve"> </w:t>
      </w:r>
      <w:r w:rsidR="00FA2F43">
        <w:rPr>
          <w:sz w:val="28"/>
          <w:szCs w:val="28"/>
        </w:rPr>
        <w:t>June</w:t>
      </w:r>
      <w:r w:rsidR="00446018">
        <w:rPr>
          <w:sz w:val="28"/>
          <w:szCs w:val="28"/>
        </w:rPr>
        <w:t xml:space="preserve"> 2018</w:t>
      </w:r>
    </w:p>
    <w:p w14:paraId="0C34823B" w14:textId="77777777" w:rsidR="001A1998" w:rsidRDefault="00AE1105" w:rsidP="00521122">
      <w:pPr>
        <w:pStyle w:val="Heading6"/>
      </w:pPr>
      <w:r>
        <w:t>Obj</w:t>
      </w:r>
      <w:r w:rsidR="008F4F7E">
        <w:t>ectives</w:t>
      </w:r>
    </w:p>
    <w:p w14:paraId="5574BB64" w14:textId="0E146927" w:rsidR="0097026D" w:rsidRDefault="0097026D" w:rsidP="0097026D">
      <w:r>
        <w:t xml:space="preserve">The policy sets out the City of Hobart’s approach to managing the Community </w:t>
      </w:r>
      <w:r w:rsidR="00F731D9">
        <w:t xml:space="preserve">and </w:t>
      </w:r>
      <w:r w:rsidR="008C6513">
        <w:t>Marketing</w:t>
      </w:r>
      <w:r w:rsidR="00BA7C46">
        <w:t xml:space="preserve"> Grants Program.</w:t>
      </w:r>
    </w:p>
    <w:p w14:paraId="7A45E0BD" w14:textId="4012C5A0" w:rsidR="00AE1105" w:rsidRDefault="0097026D" w:rsidP="0097026D">
      <w:r>
        <w:t xml:space="preserve">The objective of the </w:t>
      </w:r>
      <w:r w:rsidR="005E31A2">
        <w:t>g</w:t>
      </w:r>
      <w:r>
        <w:t xml:space="preserve">rants </w:t>
      </w:r>
      <w:r w:rsidR="005E31A2">
        <w:t>p</w:t>
      </w:r>
      <w:r>
        <w:t xml:space="preserve">rogram is to encourage and support community </w:t>
      </w:r>
      <w:r w:rsidR="008F2952">
        <w:t>and cultural organisations as well as small business</w:t>
      </w:r>
      <w:r w:rsidR="00577CC2">
        <w:t>es</w:t>
      </w:r>
      <w:r w:rsidR="008F2952">
        <w:t xml:space="preserve"> to develop and deliver </w:t>
      </w:r>
      <w:r w:rsidR="00AE3204">
        <w:t>Hobart</w:t>
      </w:r>
      <w:r w:rsidR="00577CC2">
        <w:t>-</w:t>
      </w:r>
      <w:r w:rsidR="00AE3204">
        <w:t xml:space="preserve">based </w:t>
      </w:r>
      <w:r w:rsidR="008F2952">
        <w:t xml:space="preserve">events, </w:t>
      </w:r>
      <w:r>
        <w:t xml:space="preserve">projects and activities that </w:t>
      </w:r>
      <w:r w:rsidR="00AE3204">
        <w:t xml:space="preserve">have </w:t>
      </w:r>
      <w:r>
        <w:t xml:space="preserve">community, cultural </w:t>
      </w:r>
      <w:r w:rsidR="00DF06F7">
        <w:t xml:space="preserve">or </w:t>
      </w:r>
      <w:r w:rsidR="009E52F2">
        <w:t xml:space="preserve">economic </w:t>
      </w:r>
      <w:r>
        <w:t xml:space="preserve">outcomes </w:t>
      </w:r>
      <w:r w:rsidR="008F2952">
        <w:t xml:space="preserve">that align with </w:t>
      </w:r>
      <w:r w:rsidR="00AE3204">
        <w:t xml:space="preserve">the </w:t>
      </w:r>
      <w:r w:rsidR="001759B0">
        <w:t xml:space="preserve">Future Directions within the </w:t>
      </w:r>
      <w:r w:rsidR="009E52F2">
        <w:t>City</w:t>
      </w:r>
      <w:r w:rsidR="007B32D9">
        <w:t>’</w:t>
      </w:r>
      <w:r w:rsidR="009E52F2">
        <w:t xml:space="preserve">s </w:t>
      </w:r>
      <w:r>
        <w:t>Strategic Plan.</w:t>
      </w:r>
    </w:p>
    <w:p w14:paraId="65CBA4B3" w14:textId="77777777" w:rsidR="00AE1105" w:rsidRDefault="00626768" w:rsidP="00626768">
      <w:pPr>
        <w:pStyle w:val="Heading6"/>
      </w:pPr>
      <w:r>
        <w:t>Back</w:t>
      </w:r>
      <w:r w:rsidR="008F4F7E">
        <w:t>ground</w:t>
      </w:r>
    </w:p>
    <w:p w14:paraId="507A528C" w14:textId="79F383CE" w:rsidR="0097026D" w:rsidRDefault="0097026D" w:rsidP="0097026D">
      <w:r>
        <w:t xml:space="preserve">The </w:t>
      </w:r>
      <w:r w:rsidR="005E31A2">
        <w:t>City</w:t>
      </w:r>
      <w:r>
        <w:t xml:space="preserve"> makes available grant funding to assist community, cultural</w:t>
      </w:r>
      <w:r w:rsidR="00DE1F98">
        <w:t xml:space="preserve">, </w:t>
      </w:r>
      <w:r>
        <w:t xml:space="preserve">other organisations </w:t>
      </w:r>
      <w:r w:rsidR="002B1393">
        <w:t xml:space="preserve">and businesses </w:t>
      </w:r>
      <w:r>
        <w:t xml:space="preserve">through its </w:t>
      </w:r>
      <w:r w:rsidR="005E31A2">
        <w:t>g</w:t>
      </w:r>
      <w:r>
        <w:t xml:space="preserve">rants </w:t>
      </w:r>
      <w:r w:rsidR="005E31A2">
        <w:t>p</w:t>
      </w:r>
      <w:r>
        <w:t>rogram.</w:t>
      </w:r>
    </w:p>
    <w:p w14:paraId="7FBDB7CC" w14:textId="0D61D791" w:rsidR="00626768" w:rsidRDefault="0077399D" w:rsidP="0097026D">
      <w:r>
        <w:t xml:space="preserve">The </w:t>
      </w:r>
      <w:r w:rsidR="005E31A2">
        <w:t>g</w:t>
      </w:r>
      <w:r w:rsidR="0097026D">
        <w:t xml:space="preserve">rants </w:t>
      </w:r>
      <w:r w:rsidR="005E31A2">
        <w:t>p</w:t>
      </w:r>
      <w:r w:rsidR="0097026D">
        <w:t xml:space="preserve">rogram </w:t>
      </w:r>
      <w:r w:rsidR="005B0C39">
        <w:t xml:space="preserve">provides transparent and equitable governance for the City’s support of projects </w:t>
      </w:r>
      <w:r w:rsidR="0097026D">
        <w:t xml:space="preserve">with the intention of assisting the community, organisations, and businesses in the Hobart </w:t>
      </w:r>
      <w:r w:rsidR="00B81F3E">
        <w:t>municipal</w:t>
      </w:r>
      <w:r w:rsidR="00891102">
        <w:t xml:space="preserve"> area</w:t>
      </w:r>
      <w:r w:rsidR="004238E9">
        <w:t>.</w:t>
      </w:r>
    </w:p>
    <w:p w14:paraId="2C40FF60" w14:textId="77777777" w:rsidR="00626768" w:rsidRDefault="00626768" w:rsidP="00626768">
      <w:pPr>
        <w:pStyle w:val="Heading6"/>
      </w:pPr>
      <w:r>
        <w:t>Policy</w:t>
      </w:r>
    </w:p>
    <w:p w14:paraId="5491DFDD" w14:textId="77777777" w:rsidR="00626768" w:rsidRDefault="00626768" w:rsidP="00626768">
      <w:r>
        <w:t>That:</w:t>
      </w:r>
    </w:p>
    <w:p w14:paraId="7B4600E4" w14:textId="171BB73C" w:rsidR="0097026D" w:rsidRDefault="0097026D" w:rsidP="0097026D">
      <w:pPr>
        <w:pStyle w:val="Heading7"/>
        <w:numPr>
          <w:ilvl w:val="0"/>
          <w:numId w:val="0"/>
        </w:numPr>
        <w:ind w:left="1134" w:hanging="567"/>
      </w:pPr>
      <w:r>
        <w:t>1.</w:t>
      </w:r>
      <w:r>
        <w:tab/>
        <w:t xml:space="preserve">The </w:t>
      </w:r>
      <w:r w:rsidR="00ED18B4">
        <w:t xml:space="preserve">City </w:t>
      </w:r>
      <w:r>
        <w:t>make</w:t>
      </w:r>
      <w:r w:rsidR="00B81F3E">
        <w:t>s</w:t>
      </w:r>
      <w:r>
        <w:t xml:space="preserve"> grant funds available to assist community, cultural</w:t>
      </w:r>
      <w:r w:rsidR="00DE1F98">
        <w:t>, business</w:t>
      </w:r>
      <w:r>
        <w:t xml:space="preserve"> and other organisations through its </w:t>
      </w:r>
      <w:r w:rsidR="005E31A2">
        <w:t>g</w:t>
      </w:r>
      <w:r>
        <w:t xml:space="preserve">rants </w:t>
      </w:r>
      <w:r w:rsidR="005E31A2">
        <w:t>p</w:t>
      </w:r>
      <w:r>
        <w:t>rogram.</w:t>
      </w:r>
    </w:p>
    <w:p w14:paraId="479D2257" w14:textId="4DA3CA7E" w:rsidR="00262D10" w:rsidRDefault="0097026D" w:rsidP="0097026D">
      <w:pPr>
        <w:pStyle w:val="Heading7"/>
        <w:numPr>
          <w:ilvl w:val="0"/>
          <w:numId w:val="0"/>
        </w:numPr>
        <w:ind w:left="1134" w:hanging="567"/>
      </w:pPr>
      <w:r>
        <w:t>2.</w:t>
      </w:r>
      <w:r>
        <w:tab/>
        <w:t>Under each stream there are a number of grant categories.  The funds available</w:t>
      </w:r>
      <w:r w:rsidR="004238E9">
        <w:t xml:space="preserve"> for each category are listed</w:t>
      </w:r>
      <w:r w:rsidR="00DE1F98">
        <w:t xml:space="preserve"> in the following table.</w:t>
      </w:r>
    </w:p>
    <w:p w14:paraId="723B32A7" w14:textId="1F9C2628" w:rsidR="00262D10" w:rsidRDefault="00262D10" w:rsidP="00262D10">
      <w:pPr>
        <w:rPr>
          <w:rFonts w:eastAsiaTheme="majorEastAsia" w:cstheme="majorBidi"/>
        </w:rPr>
      </w:pPr>
    </w:p>
    <w:p w14:paraId="17FA33B8" w14:textId="77777777" w:rsidR="00E00525" w:rsidRDefault="00E00525" w:rsidP="00262D10">
      <w:pPr>
        <w:rPr>
          <w:rFonts w:eastAsiaTheme="majorEastAsia" w:cstheme="majorBidi"/>
        </w:rPr>
      </w:pPr>
    </w:p>
    <w:p w14:paraId="2CED5CE7" w14:textId="77777777" w:rsidR="00991FB2" w:rsidRDefault="00991FB2" w:rsidP="00262D10">
      <w:pPr>
        <w:rPr>
          <w:rFonts w:eastAsiaTheme="majorEastAsia" w:cstheme="majorBidi"/>
        </w:rPr>
      </w:pPr>
    </w:p>
    <w:tbl>
      <w:tblPr>
        <w:tblW w:w="8330"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2"/>
        <w:gridCol w:w="3827"/>
        <w:gridCol w:w="2551"/>
      </w:tblGrid>
      <w:tr w:rsidR="0097026D" w:rsidRPr="00FB3051" w14:paraId="0B5B20D3" w14:textId="77777777" w:rsidTr="00E35BE6">
        <w:tc>
          <w:tcPr>
            <w:tcW w:w="1952" w:type="dxa"/>
            <w:shd w:val="clear" w:color="auto" w:fill="8DB3E2"/>
            <w:vAlign w:val="center"/>
          </w:tcPr>
          <w:p w14:paraId="641322B5" w14:textId="77777777" w:rsidR="0097026D" w:rsidRPr="006D2797" w:rsidRDefault="0097026D" w:rsidP="00262D10">
            <w:pPr>
              <w:spacing w:after="0"/>
              <w:ind w:left="0"/>
              <w:jc w:val="center"/>
              <w:rPr>
                <w:rFonts w:cs="Arial"/>
                <w:b/>
                <w:szCs w:val="26"/>
              </w:rPr>
            </w:pPr>
          </w:p>
          <w:p w14:paraId="4D276547" w14:textId="77777777" w:rsidR="0097026D" w:rsidRPr="006D2797" w:rsidRDefault="0097026D" w:rsidP="00262D10">
            <w:pPr>
              <w:spacing w:after="0"/>
              <w:ind w:left="0"/>
              <w:jc w:val="center"/>
              <w:rPr>
                <w:rFonts w:cs="Arial"/>
                <w:b/>
                <w:szCs w:val="26"/>
              </w:rPr>
            </w:pPr>
            <w:r w:rsidRPr="006D2797">
              <w:rPr>
                <w:rFonts w:cs="Arial"/>
                <w:b/>
                <w:szCs w:val="26"/>
              </w:rPr>
              <w:t>Grant Streams</w:t>
            </w:r>
          </w:p>
          <w:p w14:paraId="7B65215E" w14:textId="77777777" w:rsidR="0097026D" w:rsidRPr="006D2797" w:rsidRDefault="0097026D" w:rsidP="00262D10">
            <w:pPr>
              <w:spacing w:after="0"/>
              <w:ind w:left="0"/>
              <w:jc w:val="center"/>
              <w:rPr>
                <w:rFonts w:cs="Arial"/>
                <w:b/>
                <w:szCs w:val="26"/>
              </w:rPr>
            </w:pPr>
          </w:p>
        </w:tc>
        <w:tc>
          <w:tcPr>
            <w:tcW w:w="3827" w:type="dxa"/>
            <w:shd w:val="clear" w:color="auto" w:fill="8DB3E2"/>
            <w:vAlign w:val="center"/>
          </w:tcPr>
          <w:p w14:paraId="71BE0569" w14:textId="77777777" w:rsidR="0097026D" w:rsidRPr="006D2797" w:rsidRDefault="0097026D" w:rsidP="00262D10">
            <w:pPr>
              <w:spacing w:after="0"/>
              <w:ind w:left="0"/>
              <w:jc w:val="center"/>
              <w:rPr>
                <w:rFonts w:cs="Arial"/>
                <w:b/>
                <w:szCs w:val="26"/>
              </w:rPr>
            </w:pPr>
            <w:r w:rsidRPr="006D2797">
              <w:rPr>
                <w:rFonts w:cs="Arial"/>
                <w:b/>
                <w:szCs w:val="26"/>
              </w:rPr>
              <w:t xml:space="preserve">Available </w:t>
            </w:r>
            <w:r w:rsidRPr="006D2797">
              <w:rPr>
                <w:rFonts w:cs="Arial"/>
                <w:b/>
                <w:szCs w:val="26"/>
              </w:rPr>
              <w:br/>
              <w:t>Categories</w:t>
            </w:r>
          </w:p>
        </w:tc>
        <w:tc>
          <w:tcPr>
            <w:tcW w:w="2551" w:type="dxa"/>
            <w:shd w:val="clear" w:color="auto" w:fill="8DB3E2"/>
            <w:vAlign w:val="center"/>
          </w:tcPr>
          <w:p w14:paraId="21E28D80" w14:textId="77777777" w:rsidR="0097026D" w:rsidRPr="006D2797" w:rsidRDefault="0097026D" w:rsidP="00262D10">
            <w:pPr>
              <w:spacing w:after="0"/>
              <w:ind w:left="0"/>
              <w:jc w:val="center"/>
              <w:rPr>
                <w:rFonts w:cs="Arial"/>
                <w:b/>
                <w:szCs w:val="26"/>
              </w:rPr>
            </w:pPr>
            <w:r w:rsidRPr="006D2797">
              <w:rPr>
                <w:rFonts w:cs="Arial"/>
                <w:b/>
                <w:szCs w:val="26"/>
              </w:rPr>
              <w:t xml:space="preserve">Funding </w:t>
            </w:r>
            <w:r w:rsidRPr="006D2797">
              <w:rPr>
                <w:rFonts w:cs="Arial"/>
                <w:b/>
                <w:szCs w:val="26"/>
              </w:rPr>
              <w:br/>
              <w:t>Amounts ($)</w:t>
            </w:r>
          </w:p>
        </w:tc>
      </w:tr>
      <w:tr w:rsidR="0097026D" w:rsidRPr="00FB3051" w14:paraId="2BB1C7DB" w14:textId="77777777" w:rsidTr="00E35BE6">
        <w:tc>
          <w:tcPr>
            <w:tcW w:w="1952" w:type="dxa"/>
            <w:tcBorders>
              <w:bottom w:val="single" w:sz="4" w:space="0" w:color="auto"/>
            </w:tcBorders>
            <w:vAlign w:val="center"/>
          </w:tcPr>
          <w:p w14:paraId="4206F068" w14:textId="75C1960C" w:rsidR="0097026D" w:rsidRPr="006D2797" w:rsidRDefault="0097026D" w:rsidP="003B53CF">
            <w:pPr>
              <w:spacing w:after="0"/>
              <w:ind w:left="0"/>
              <w:rPr>
                <w:rFonts w:cs="Arial"/>
                <w:szCs w:val="26"/>
              </w:rPr>
            </w:pPr>
            <w:r w:rsidRPr="006D2797">
              <w:rPr>
                <w:rFonts w:cs="Arial"/>
                <w:szCs w:val="26"/>
              </w:rPr>
              <w:t>Creative Hobart</w:t>
            </w:r>
          </w:p>
        </w:tc>
        <w:tc>
          <w:tcPr>
            <w:tcW w:w="3827" w:type="dxa"/>
            <w:tcBorders>
              <w:bottom w:val="single" w:sz="4" w:space="0" w:color="auto"/>
            </w:tcBorders>
            <w:vAlign w:val="center"/>
          </w:tcPr>
          <w:p w14:paraId="1F4190A3" w14:textId="77777777" w:rsidR="0097026D" w:rsidRPr="006D2797" w:rsidRDefault="0097026D" w:rsidP="004238E9">
            <w:pPr>
              <w:spacing w:before="120" w:after="0" w:line="276" w:lineRule="auto"/>
              <w:ind w:left="0"/>
              <w:rPr>
                <w:rFonts w:cs="Arial"/>
                <w:szCs w:val="26"/>
              </w:rPr>
            </w:pPr>
            <w:r w:rsidRPr="006D2797">
              <w:rPr>
                <w:rFonts w:cs="Arial"/>
                <w:szCs w:val="26"/>
              </w:rPr>
              <w:t xml:space="preserve">- Major Cultural Organisations </w:t>
            </w:r>
          </w:p>
          <w:p w14:paraId="3156824D" w14:textId="2F7AA9E5" w:rsidR="0097026D" w:rsidRPr="006D2797" w:rsidRDefault="0097026D" w:rsidP="00262D10">
            <w:pPr>
              <w:spacing w:after="0" w:line="276" w:lineRule="auto"/>
              <w:ind w:left="0"/>
              <w:rPr>
                <w:rFonts w:cs="Arial"/>
                <w:szCs w:val="26"/>
              </w:rPr>
            </w:pPr>
            <w:r w:rsidRPr="006D2797">
              <w:rPr>
                <w:rFonts w:cs="Arial"/>
                <w:szCs w:val="26"/>
              </w:rPr>
              <w:t xml:space="preserve">- Medium Cultural </w:t>
            </w:r>
          </w:p>
          <w:p w14:paraId="5ED18994" w14:textId="0FD4780F" w:rsidR="0097026D" w:rsidRPr="006D2797" w:rsidRDefault="0097026D" w:rsidP="00262D10">
            <w:pPr>
              <w:spacing w:after="0" w:line="276" w:lineRule="auto"/>
              <w:ind w:left="0"/>
              <w:rPr>
                <w:rFonts w:cs="Arial"/>
                <w:szCs w:val="26"/>
              </w:rPr>
            </w:pPr>
            <w:r w:rsidRPr="006D2797">
              <w:rPr>
                <w:rFonts w:cs="Arial"/>
                <w:szCs w:val="26"/>
              </w:rPr>
              <w:t xml:space="preserve">- Small Cultural </w:t>
            </w:r>
          </w:p>
          <w:p w14:paraId="2797E927" w14:textId="650E7DF6" w:rsidR="0097026D" w:rsidRPr="006D2797" w:rsidRDefault="0097026D" w:rsidP="00E92620">
            <w:pPr>
              <w:spacing w:after="120" w:line="276" w:lineRule="auto"/>
              <w:ind w:left="33"/>
              <w:rPr>
                <w:rFonts w:cs="Arial"/>
                <w:szCs w:val="26"/>
              </w:rPr>
            </w:pPr>
            <w:r w:rsidRPr="006D2797">
              <w:rPr>
                <w:rFonts w:cs="Arial"/>
                <w:szCs w:val="26"/>
              </w:rPr>
              <w:t xml:space="preserve">- Quick Response </w:t>
            </w:r>
          </w:p>
        </w:tc>
        <w:tc>
          <w:tcPr>
            <w:tcW w:w="2551" w:type="dxa"/>
            <w:tcBorders>
              <w:bottom w:val="single" w:sz="4" w:space="0" w:color="auto"/>
            </w:tcBorders>
            <w:vAlign w:val="center"/>
          </w:tcPr>
          <w:p w14:paraId="09D856B6" w14:textId="77777777" w:rsidR="0097026D" w:rsidRPr="006D2797" w:rsidRDefault="0097026D" w:rsidP="004238E9">
            <w:pPr>
              <w:numPr>
                <w:ilvl w:val="0"/>
                <w:numId w:val="4"/>
              </w:numPr>
              <w:spacing w:before="120" w:after="0" w:line="276" w:lineRule="auto"/>
              <w:ind w:left="318" w:hanging="284"/>
              <w:rPr>
                <w:rFonts w:cs="Arial"/>
                <w:szCs w:val="26"/>
              </w:rPr>
            </w:pPr>
            <w:r w:rsidRPr="006D2797">
              <w:rPr>
                <w:rFonts w:cs="Arial"/>
                <w:szCs w:val="26"/>
              </w:rPr>
              <w:t>Over $10,000</w:t>
            </w:r>
          </w:p>
          <w:p w14:paraId="4B8339EA" w14:textId="6872DA40" w:rsidR="0097026D" w:rsidRPr="006D2797" w:rsidRDefault="001F74D9" w:rsidP="004238E9">
            <w:pPr>
              <w:numPr>
                <w:ilvl w:val="0"/>
                <w:numId w:val="4"/>
              </w:numPr>
              <w:spacing w:after="0" w:line="276" w:lineRule="auto"/>
              <w:ind w:left="317" w:hanging="283"/>
              <w:rPr>
                <w:rFonts w:cs="Arial"/>
                <w:szCs w:val="26"/>
              </w:rPr>
            </w:pPr>
            <w:r>
              <w:rPr>
                <w:rFonts w:cs="Arial"/>
                <w:szCs w:val="26"/>
              </w:rPr>
              <w:t>$</w:t>
            </w:r>
            <w:r w:rsidR="0077399D">
              <w:rPr>
                <w:rFonts w:cs="Arial"/>
                <w:szCs w:val="26"/>
              </w:rPr>
              <w:t>7</w:t>
            </w:r>
            <w:r w:rsidR="00102E0A">
              <w:rPr>
                <w:rFonts w:cs="Arial"/>
                <w:szCs w:val="26"/>
              </w:rPr>
              <w:t>,</w:t>
            </w:r>
            <w:r w:rsidR="0097026D" w:rsidRPr="006D2797">
              <w:rPr>
                <w:rFonts w:cs="Arial"/>
                <w:szCs w:val="26"/>
              </w:rPr>
              <w:t>000 to $15,000</w:t>
            </w:r>
          </w:p>
          <w:p w14:paraId="0451AFE3" w14:textId="192BA976" w:rsidR="0097026D" w:rsidRPr="006D2797" w:rsidRDefault="0077399D" w:rsidP="004238E9">
            <w:pPr>
              <w:numPr>
                <w:ilvl w:val="0"/>
                <w:numId w:val="4"/>
              </w:numPr>
              <w:spacing w:after="0" w:line="276" w:lineRule="auto"/>
              <w:ind w:left="317" w:hanging="283"/>
              <w:rPr>
                <w:rFonts w:cs="Arial"/>
                <w:szCs w:val="26"/>
              </w:rPr>
            </w:pPr>
            <w:r>
              <w:rPr>
                <w:rFonts w:cs="Arial"/>
                <w:szCs w:val="26"/>
              </w:rPr>
              <w:t>$1</w:t>
            </w:r>
            <w:r w:rsidR="00102E0A">
              <w:rPr>
                <w:rFonts w:cs="Arial"/>
                <w:szCs w:val="26"/>
              </w:rPr>
              <w:t>,</w:t>
            </w:r>
            <w:r>
              <w:rPr>
                <w:rFonts w:cs="Arial"/>
                <w:szCs w:val="26"/>
              </w:rPr>
              <w:t>000 to $5</w:t>
            </w:r>
            <w:r w:rsidR="0097026D" w:rsidRPr="006D2797">
              <w:rPr>
                <w:rFonts w:cs="Arial"/>
                <w:szCs w:val="26"/>
              </w:rPr>
              <w:t>000</w:t>
            </w:r>
          </w:p>
          <w:p w14:paraId="4CD53DD4" w14:textId="3B10D009" w:rsidR="0097026D" w:rsidRPr="006D2797" w:rsidRDefault="0097026D" w:rsidP="00B2087F">
            <w:pPr>
              <w:numPr>
                <w:ilvl w:val="0"/>
                <w:numId w:val="4"/>
              </w:numPr>
              <w:spacing w:after="0" w:line="276" w:lineRule="auto"/>
              <w:ind w:left="317" w:hanging="283"/>
              <w:rPr>
                <w:rFonts w:cs="Arial"/>
                <w:szCs w:val="26"/>
              </w:rPr>
            </w:pPr>
            <w:r w:rsidRPr="006D2797">
              <w:rPr>
                <w:rFonts w:cs="Arial"/>
                <w:szCs w:val="26"/>
              </w:rPr>
              <w:t>Up to $1</w:t>
            </w:r>
            <w:r w:rsidR="00102E0A">
              <w:rPr>
                <w:rFonts w:cs="Arial"/>
                <w:szCs w:val="26"/>
              </w:rPr>
              <w:t>,</w:t>
            </w:r>
            <w:r w:rsidRPr="006D2797">
              <w:rPr>
                <w:rFonts w:cs="Arial"/>
                <w:szCs w:val="26"/>
              </w:rPr>
              <w:t>000</w:t>
            </w:r>
          </w:p>
        </w:tc>
      </w:tr>
      <w:tr w:rsidR="0097026D" w:rsidRPr="00FB3051" w14:paraId="3B587CA2" w14:textId="77777777" w:rsidTr="00E35BE6">
        <w:tc>
          <w:tcPr>
            <w:tcW w:w="1952" w:type="dxa"/>
            <w:vAlign w:val="center"/>
          </w:tcPr>
          <w:p w14:paraId="5E4CEE3B" w14:textId="78032E24" w:rsidR="0097026D" w:rsidRPr="006D2797" w:rsidRDefault="0097026D" w:rsidP="00E92620">
            <w:pPr>
              <w:spacing w:after="0"/>
              <w:ind w:left="0"/>
              <w:rPr>
                <w:rFonts w:cs="Arial"/>
                <w:szCs w:val="26"/>
              </w:rPr>
            </w:pPr>
            <w:r w:rsidRPr="006D2797">
              <w:rPr>
                <w:rFonts w:cs="Arial"/>
                <w:szCs w:val="26"/>
              </w:rPr>
              <w:t>Communit</w:t>
            </w:r>
            <w:r w:rsidR="00AE2B0E">
              <w:rPr>
                <w:rFonts w:cs="Arial"/>
                <w:szCs w:val="26"/>
              </w:rPr>
              <w:t>y</w:t>
            </w:r>
          </w:p>
        </w:tc>
        <w:tc>
          <w:tcPr>
            <w:tcW w:w="3827" w:type="dxa"/>
            <w:vAlign w:val="center"/>
          </w:tcPr>
          <w:p w14:paraId="485C26D3" w14:textId="2D0E0ADF" w:rsidR="0097026D" w:rsidRPr="006D2797" w:rsidRDefault="0097026D" w:rsidP="00262D10">
            <w:pPr>
              <w:spacing w:after="0" w:line="276" w:lineRule="auto"/>
              <w:ind w:left="0"/>
              <w:rPr>
                <w:rFonts w:cs="Arial"/>
                <w:szCs w:val="26"/>
              </w:rPr>
            </w:pPr>
            <w:r w:rsidRPr="006D2797">
              <w:rPr>
                <w:rFonts w:cs="Arial"/>
                <w:szCs w:val="26"/>
              </w:rPr>
              <w:t xml:space="preserve">- Small Community </w:t>
            </w:r>
          </w:p>
          <w:p w14:paraId="124A3AE1" w14:textId="0EC3E727" w:rsidR="0097026D" w:rsidRPr="006D2797" w:rsidRDefault="0097026D" w:rsidP="00E92620">
            <w:pPr>
              <w:spacing w:after="0" w:line="276" w:lineRule="auto"/>
              <w:ind w:left="0"/>
              <w:rPr>
                <w:rFonts w:cs="Arial"/>
                <w:szCs w:val="26"/>
              </w:rPr>
            </w:pPr>
            <w:r w:rsidRPr="006D2797">
              <w:rPr>
                <w:rFonts w:cs="Arial"/>
                <w:szCs w:val="26"/>
              </w:rPr>
              <w:t xml:space="preserve">- Quick Response </w:t>
            </w:r>
          </w:p>
        </w:tc>
        <w:tc>
          <w:tcPr>
            <w:tcW w:w="2551" w:type="dxa"/>
            <w:vAlign w:val="center"/>
          </w:tcPr>
          <w:p w14:paraId="44C1957E" w14:textId="0F09BDA4" w:rsidR="0097026D" w:rsidRPr="006D2797" w:rsidRDefault="0077399D" w:rsidP="004238E9">
            <w:pPr>
              <w:numPr>
                <w:ilvl w:val="0"/>
                <w:numId w:val="4"/>
              </w:numPr>
              <w:spacing w:before="120" w:after="0" w:line="276" w:lineRule="auto"/>
              <w:ind w:left="318" w:hanging="284"/>
              <w:rPr>
                <w:rFonts w:cs="Arial"/>
                <w:szCs w:val="26"/>
              </w:rPr>
            </w:pPr>
            <w:r>
              <w:rPr>
                <w:rFonts w:cs="Arial"/>
                <w:szCs w:val="26"/>
              </w:rPr>
              <w:t>$500 to $5</w:t>
            </w:r>
            <w:r w:rsidR="00102E0A">
              <w:rPr>
                <w:rFonts w:cs="Arial"/>
                <w:szCs w:val="26"/>
              </w:rPr>
              <w:t>,</w:t>
            </w:r>
            <w:r w:rsidR="0097026D" w:rsidRPr="006D2797">
              <w:rPr>
                <w:rFonts w:cs="Arial"/>
                <w:szCs w:val="26"/>
              </w:rPr>
              <w:t>000</w:t>
            </w:r>
          </w:p>
          <w:p w14:paraId="5190CEC0" w14:textId="77777777" w:rsidR="0097026D" w:rsidRPr="006D2797" w:rsidRDefault="0097026D" w:rsidP="004238E9">
            <w:pPr>
              <w:numPr>
                <w:ilvl w:val="0"/>
                <w:numId w:val="4"/>
              </w:numPr>
              <w:spacing w:after="120" w:line="276" w:lineRule="auto"/>
              <w:ind w:left="317" w:hanging="283"/>
              <w:rPr>
                <w:rFonts w:cs="Arial"/>
                <w:szCs w:val="26"/>
              </w:rPr>
            </w:pPr>
            <w:r w:rsidRPr="006D2797">
              <w:rPr>
                <w:rFonts w:cs="Arial"/>
                <w:szCs w:val="26"/>
              </w:rPr>
              <w:t>Up to $500</w:t>
            </w:r>
          </w:p>
        </w:tc>
      </w:tr>
      <w:tr w:rsidR="0097026D" w:rsidRPr="00FB3051" w14:paraId="36993BD6" w14:textId="77777777" w:rsidTr="00E35BE6">
        <w:tc>
          <w:tcPr>
            <w:tcW w:w="1952" w:type="dxa"/>
            <w:vAlign w:val="center"/>
          </w:tcPr>
          <w:p w14:paraId="4CB2275F" w14:textId="6B061963" w:rsidR="0097026D" w:rsidRPr="006D2797" w:rsidRDefault="003B53CF" w:rsidP="00E92620">
            <w:pPr>
              <w:spacing w:after="0"/>
              <w:ind w:left="0"/>
              <w:rPr>
                <w:rFonts w:cs="Arial"/>
                <w:szCs w:val="26"/>
              </w:rPr>
            </w:pPr>
            <w:r>
              <w:rPr>
                <w:rFonts w:cs="Arial"/>
                <w:szCs w:val="26"/>
              </w:rPr>
              <w:t>Event</w:t>
            </w:r>
          </w:p>
        </w:tc>
        <w:tc>
          <w:tcPr>
            <w:tcW w:w="3827" w:type="dxa"/>
            <w:vAlign w:val="center"/>
          </w:tcPr>
          <w:p w14:paraId="699D3D27" w14:textId="77777777" w:rsidR="0097026D" w:rsidRPr="006D2797" w:rsidRDefault="0097026D" w:rsidP="00262D10">
            <w:pPr>
              <w:spacing w:after="0" w:line="276" w:lineRule="auto"/>
              <w:ind w:left="0"/>
              <w:rPr>
                <w:rFonts w:cs="Arial"/>
                <w:szCs w:val="26"/>
              </w:rPr>
            </w:pPr>
            <w:r w:rsidRPr="006D2797">
              <w:rPr>
                <w:rFonts w:cs="Arial"/>
                <w:szCs w:val="26"/>
              </w:rPr>
              <w:t>- Event Partnerships</w:t>
            </w:r>
          </w:p>
          <w:p w14:paraId="503FF29C" w14:textId="46D3679A" w:rsidR="0097026D" w:rsidRPr="006D2797" w:rsidRDefault="0097026D" w:rsidP="00262D10">
            <w:pPr>
              <w:spacing w:after="0" w:line="276" w:lineRule="auto"/>
              <w:ind w:left="0"/>
              <w:rPr>
                <w:rFonts w:cs="Arial"/>
                <w:szCs w:val="26"/>
              </w:rPr>
            </w:pPr>
            <w:r w:rsidRPr="006D2797">
              <w:rPr>
                <w:rFonts w:cs="Arial"/>
                <w:szCs w:val="26"/>
              </w:rPr>
              <w:t xml:space="preserve">- Event </w:t>
            </w:r>
          </w:p>
          <w:p w14:paraId="404B24A9" w14:textId="373A4EAB" w:rsidR="0097026D" w:rsidRPr="006D2797" w:rsidRDefault="0097026D" w:rsidP="00E92620">
            <w:pPr>
              <w:spacing w:after="0" w:line="276" w:lineRule="auto"/>
              <w:ind w:left="0"/>
              <w:rPr>
                <w:rFonts w:cs="Arial"/>
                <w:szCs w:val="26"/>
              </w:rPr>
            </w:pPr>
            <w:r w:rsidRPr="006D2797">
              <w:rPr>
                <w:rFonts w:cs="Arial"/>
                <w:szCs w:val="26"/>
              </w:rPr>
              <w:t xml:space="preserve">- Quick Response </w:t>
            </w:r>
          </w:p>
        </w:tc>
        <w:tc>
          <w:tcPr>
            <w:tcW w:w="2551" w:type="dxa"/>
            <w:vAlign w:val="center"/>
          </w:tcPr>
          <w:p w14:paraId="1DCA4701" w14:textId="77777777" w:rsidR="0097026D" w:rsidRPr="006D2797" w:rsidRDefault="0097026D" w:rsidP="004238E9">
            <w:pPr>
              <w:numPr>
                <w:ilvl w:val="0"/>
                <w:numId w:val="4"/>
              </w:numPr>
              <w:spacing w:before="120" w:after="0" w:line="276" w:lineRule="auto"/>
              <w:ind w:left="318" w:hanging="284"/>
              <w:rPr>
                <w:rFonts w:cs="Arial"/>
                <w:szCs w:val="26"/>
              </w:rPr>
            </w:pPr>
            <w:r w:rsidRPr="006D2797">
              <w:rPr>
                <w:rFonts w:cs="Arial"/>
                <w:szCs w:val="26"/>
              </w:rPr>
              <w:t>Over $20,000</w:t>
            </w:r>
          </w:p>
          <w:p w14:paraId="7412C282" w14:textId="77777777" w:rsidR="0097026D" w:rsidRPr="006D2797" w:rsidRDefault="0097026D" w:rsidP="004238E9">
            <w:pPr>
              <w:numPr>
                <w:ilvl w:val="0"/>
                <w:numId w:val="4"/>
              </w:numPr>
              <w:spacing w:after="0" w:line="276" w:lineRule="auto"/>
              <w:ind w:left="317" w:hanging="283"/>
              <w:rPr>
                <w:rFonts w:cs="Arial"/>
                <w:szCs w:val="26"/>
              </w:rPr>
            </w:pPr>
            <w:r w:rsidRPr="006D2797">
              <w:rPr>
                <w:rFonts w:cs="Arial"/>
                <w:szCs w:val="26"/>
              </w:rPr>
              <w:t>Under $20,000</w:t>
            </w:r>
          </w:p>
          <w:p w14:paraId="0EBCEA91" w14:textId="03BD044A" w:rsidR="00262D10" w:rsidRDefault="0097026D" w:rsidP="004238E9">
            <w:pPr>
              <w:numPr>
                <w:ilvl w:val="0"/>
                <w:numId w:val="4"/>
              </w:numPr>
              <w:spacing w:after="0" w:line="276" w:lineRule="auto"/>
              <w:ind w:left="317" w:hanging="283"/>
              <w:rPr>
                <w:rFonts w:cs="Arial"/>
                <w:szCs w:val="26"/>
              </w:rPr>
            </w:pPr>
            <w:r w:rsidRPr="006D2797">
              <w:rPr>
                <w:rFonts w:cs="Arial"/>
                <w:szCs w:val="26"/>
              </w:rPr>
              <w:t>Up to $1</w:t>
            </w:r>
            <w:r w:rsidR="00102E0A">
              <w:rPr>
                <w:rFonts w:cs="Arial"/>
                <w:szCs w:val="26"/>
              </w:rPr>
              <w:t>,</w:t>
            </w:r>
            <w:r w:rsidR="007B32D9">
              <w:rPr>
                <w:rFonts w:cs="Arial"/>
                <w:szCs w:val="26"/>
              </w:rPr>
              <w:t>000</w:t>
            </w:r>
          </w:p>
          <w:p w14:paraId="007F818A" w14:textId="52E8DA26" w:rsidR="0097026D" w:rsidRPr="006D2797" w:rsidRDefault="0097026D" w:rsidP="00E35BE6">
            <w:pPr>
              <w:spacing w:after="120" w:line="276" w:lineRule="auto"/>
              <w:ind w:left="317"/>
              <w:rPr>
                <w:rFonts w:cs="Arial"/>
                <w:szCs w:val="26"/>
              </w:rPr>
            </w:pPr>
            <w:r w:rsidRPr="006D2797">
              <w:rPr>
                <w:rFonts w:cs="Arial"/>
                <w:szCs w:val="26"/>
              </w:rPr>
              <w:t>(in-kind only)</w:t>
            </w:r>
          </w:p>
        </w:tc>
      </w:tr>
      <w:tr w:rsidR="00DE1F98" w:rsidRPr="00FB3051" w14:paraId="0FF96C65" w14:textId="77777777" w:rsidTr="00E35BE6">
        <w:tc>
          <w:tcPr>
            <w:tcW w:w="1952" w:type="dxa"/>
            <w:vAlign w:val="center"/>
          </w:tcPr>
          <w:p w14:paraId="2346B446" w14:textId="42B19F22" w:rsidR="00DE1F98" w:rsidRPr="006D2797" w:rsidRDefault="003B53CF" w:rsidP="00E92620">
            <w:pPr>
              <w:spacing w:after="0"/>
              <w:ind w:left="0"/>
              <w:rPr>
                <w:rFonts w:cs="Arial"/>
                <w:szCs w:val="26"/>
              </w:rPr>
            </w:pPr>
            <w:r>
              <w:rPr>
                <w:rFonts w:cs="Arial"/>
                <w:szCs w:val="26"/>
              </w:rPr>
              <w:t>Christmas</w:t>
            </w:r>
          </w:p>
        </w:tc>
        <w:tc>
          <w:tcPr>
            <w:tcW w:w="3827" w:type="dxa"/>
            <w:vAlign w:val="center"/>
          </w:tcPr>
          <w:p w14:paraId="7EB0DDA7" w14:textId="60CCB4B8" w:rsidR="00DE1F98" w:rsidRPr="006D2797" w:rsidRDefault="00DE1F98" w:rsidP="007502A2">
            <w:pPr>
              <w:spacing w:before="120" w:after="0" w:line="276" w:lineRule="auto"/>
              <w:ind w:left="176" w:hanging="142"/>
              <w:rPr>
                <w:rFonts w:cs="Arial"/>
                <w:szCs w:val="26"/>
              </w:rPr>
            </w:pPr>
            <w:r w:rsidRPr="006D2797">
              <w:rPr>
                <w:rFonts w:cs="Arial"/>
                <w:szCs w:val="26"/>
              </w:rPr>
              <w:t xml:space="preserve">- Community </w:t>
            </w:r>
            <w:r>
              <w:rPr>
                <w:rFonts w:cs="Arial"/>
                <w:szCs w:val="26"/>
              </w:rPr>
              <w:t xml:space="preserve">Christmas Activation Quick Response </w:t>
            </w:r>
          </w:p>
          <w:p w14:paraId="6A7E9AD3" w14:textId="618AC8E6" w:rsidR="00DE1F98" w:rsidRPr="006D2797" w:rsidRDefault="00DE1F98" w:rsidP="007502A2">
            <w:pPr>
              <w:spacing w:after="120" w:line="276" w:lineRule="auto"/>
              <w:ind w:left="176" w:hanging="176"/>
              <w:rPr>
                <w:rFonts w:cs="Arial"/>
                <w:szCs w:val="26"/>
              </w:rPr>
            </w:pPr>
            <w:r w:rsidRPr="006D2797">
              <w:rPr>
                <w:rFonts w:cs="Arial"/>
                <w:szCs w:val="26"/>
              </w:rPr>
              <w:t xml:space="preserve">- </w:t>
            </w:r>
            <w:r>
              <w:rPr>
                <w:rFonts w:cs="Arial"/>
                <w:szCs w:val="26"/>
              </w:rPr>
              <w:t xml:space="preserve">Community Christmas Carols </w:t>
            </w:r>
          </w:p>
        </w:tc>
        <w:tc>
          <w:tcPr>
            <w:tcW w:w="2551" w:type="dxa"/>
            <w:vAlign w:val="center"/>
          </w:tcPr>
          <w:p w14:paraId="0E055773" w14:textId="56E7A596" w:rsidR="00DE1F98" w:rsidRPr="006D2797" w:rsidRDefault="004B4189" w:rsidP="00DE1F98">
            <w:pPr>
              <w:numPr>
                <w:ilvl w:val="0"/>
                <w:numId w:val="4"/>
              </w:numPr>
              <w:spacing w:before="120" w:after="0" w:line="276" w:lineRule="auto"/>
              <w:ind w:left="318" w:hanging="284"/>
              <w:rPr>
                <w:rFonts w:cs="Arial"/>
                <w:szCs w:val="26"/>
              </w:rPr>
            </w:pPr>
            <w:r>
              <w:rPr>
                <w:rFonts w:cs="Arial"/>
                <w:szCs w:val="26"/>
              </w:rPr>
              <w:t>Up to $</w:t>
            </w:r>
            <w:r w:rsidR="00293AD7">
              <w:rPr>
                <w:rFonts w:cs="Arial"/>
                <w:szCs w:val="26"/>
              </w:rPr>
              <w:t>750</w:t>
            </w:r>
          </w:p>
          <w:p w14:paraId="16066FBD" w14:textId="0FC8461F" w:rsidR="00DE1F98" w:rsidRPr="006D2797" w:rsidRDefault="004B4189" w:rsidP="00DE1F98">
            <w:pPr>
              <w:numPr>
                <w:ilvl w:val="0"/>
                <w:numId w:val="4"/>
              </w:numPr>
              <w:spacing w:before="120" w:after="0" w:line="276" w:lineRule="auto"/>
              <w:ind w:left="318" w:hanging="284"/>
              <w:rPr>
                <w:rFonts w:cs="Arial"/>
                <w:szCs w:val="26"/>
              </w:rPr>
            </w:pPr>
            <w:r>
              <w:rPr>
                <w:rFonts w:cs="Arial"/>
                <w:szCs w:val="26"/>
              </w:rPr>
              <w:t>$1</w:t>
            </w:r>
            <w:r w:rsidR="00293AD7">
              <w:rPr>
                <w:rFonts w:cs="Arial"/>
                <w:szCs w:val="26"/>
              </w:rPr>
              <w:t>,</w:t>
            </w:r>
            <w:r w:rsidR="00DE1F98" w:rsidRPr="006D2797">
              <w:rPr>
                <w:rFonts w:cs="Arial"/>
                <w:szCs w:val="26"/>
              </w:rPr>
              <w:t>00</w:t>
            </w:r>
            <w:r>
              <w:rPr>
                <w:rFonts w:cs="Arial"/>
                <w:szCs w:val="26"/>
              </w:rPr>
              <w:t>0 - $1</w:t>
            </w:r>
            <w:r w:rsidR="00293AD7">
              <w:rPr>
                <w:rFonts w:cs="Arial"/>
                <w:szCs w:val="26"/>
              </w:rPr>
              <w:t>5</w:t>
            </w:r>
            <w:r>
              <w:rPr>
                <w:rFonts w:cs="Arial"/>
                <w:szCs w:val="26"/>
              </w:rPr>
              <w:t>,000</w:t>
            </w:r>
          </w:p>
        </w:tc>
      </w:tr>
      <w:tr w:rsidR="00911766" w:rsidRPr="00FB3051" w14:paraId="437465A5" w14:textId="77777777" w:rsidTr="00E35BE6">
        <w:tc>
          <w:tcPr>
            <w:tcW w:w="1952" w:type="dxa"/>
            <w:vAlign w:val="center"/>
          </w:tcPr>
          <w:p w14:paraId="2F995D22" w14:textId="3B0A8E39" w:rsidR="00911766" w:rsidRPr="006D2797" w:rsidRDefault="003B53CF" w:rsidP="00E92620">
            <w:pPr>
              <w:spacing w:after="0"/>
              <w:ind w:left="0"/>
              <w:rPr>
                <w:rFonts w:cs="Arial"/>
                <w:szCs w:val="26"/>
              </w:rPr>
            </w:pPr>
            <w:r>
              <w:rPr>
                <w:rFonts w:cs="Arial"/>
                <w:szCs w:val="26"/>
              </w:rPr>
              <w:t>Marketing</w:t>
            </w:r>
          </w:p>
        </w:tc>
        <w:tc>
          <w:tcPr>
            <w:tcW w:w="3827" w:type="dxa"/>
            <w:vAlign w:val="center"/>
          </w:tcPr>
          <w:p w14:paraId="29969EDF" w14:textId="1FDD7918" w:rsidR="00911766" w:rsidRPr="00446018" w:rsidRDefault="00446018" w:rsidP="00446018">
            <w:pPr>
              <w:spacing w:after="0" w:line="276" w:lineRule="auto"/>
              <w:ind w:left="5"/>
              <w:rPr>
                <w:rFonts w:cs="Arial"/>
                <w:szCs w:val="26"/>
              </w:rPr>
            </w:pPr>
            <w:r>
              <w:rPr>
                <w:rFonts w:cs="Arial"/>
                <w:szCs w:val="26"/>
              </w:rPr>
              <w:t xml:space="preserve">- </w:t>
            </w:r>
            <w:r w:rsidR="00911766" w:rsidRPr="00446018">
              <w:rPr>
                <w:rFonts w:cs="Arial"/>
                <w:szCs w:val="26"/>
              </w:rPr>
              <w:t>Shopfront Improvement</w:t>
            </w:r>
            <w:r w:rsidR="00B74E5F" w:rsidRPr="00446018">
              <w:rPr>
                <w:rFonts w:cs="Arial"/>
                <w:szCs w:val="26"/>
              </w:rPr>
              <w:t xml:space="preserve"> </w:t>
            </w:r>
          </w:p>
          <w:p w14:paraId="1259895C" w14:textId="0E7B434C" w:rsidR="00911766" w:rsidRPr="00446018" w:rsidRDefault="00446018" w:rsidP="00446018">
            <w:pPr>
              <w:spacing w:after="0" w:line="276" w:lineRule="auto"/>
              <w:ind w:left="5"/>
              <w:rPr>
                <w:rFonts w:cs="Arial"/>
                <w:szCs w:val="26"/>
              </w:rPr>
            </w:pPr>
            <w:r>
              <w:rPr>
                <w:rFonts w:cs="Arial"/>
                <w:szCs w:val="26"/>
              </w:rPr>
              <w:t xml:space="preserve">- </w:t>
            </w:r>
            <w:r w:rsidR="00911766" w:rsidRPr="00446018">
              <w:rPr>
                <w:rFonts w:cs="Arial"/>
                <w:szCs w:val="26"/>
              </w:rPr>
              <w:t>Local Trader Marketing</w:t>
            </w:r>
            <w:r w:rsidR="00B74E5F" w:rsidRPr="00446018">
              <w:rPr>
                <w:rFonts w:cs="Arial"/>
                <w:szCs w:val="26"/>
              </w:rPr>
              <w:t xml:space="preserve"> </w:t>
            </w:r>
          </w:p>
          <w:p w14:paraId="0FF758AE" w14:textId="29D16937" w:rsidR="00911766" w:rsidRPr="00446018" w:rsidRDefault="00446018" w:rsidP="00446018">
            <w:pPr>
              <w:spacing w:after="0" w:line="276" w:lineRule="auto"/>
              <w:ind w:left="5"/>
              <w:rPr>
                <w:rFonts w:cs="Arial"/>
                <w:szCs w:val="26"/>
              </w:rPr>
            </w:pPr>
            <w:r>
              <w:rPr>
                <w:rFonts w:cs="Arial"/>
                <w:szCs w:val="26"/>
              </w:rPr>
              <w:t xml:space="preserve">- </w:t>
            </w:r>
            <w:r w:rsidR="00B74E5F" w:rsidRPr="00446018">
              <w:rPr>
                <w:rFonts w:cs="Arial"/>
                <w:szCs w:val="26"/>
              </w:rPr>
              <w:t xml:space="preserve">Civic Banner </w:t>
            </w:r>
            <w:r w:rsidR="00911766" w:rsidRPr="00446018">
              <w:rPr>
                <w:rFonts w:cs="Arial"/>
                <w:szCs w:val="26"/>
              </w:rPr>
              <w:t xml:space="preserve">Quick Response </w:t>
            </w:r>
          </w:p>
        </w:tc>
        <w:tc>
          <w:tcPr>
            <w:tcW w:w="2551" w:type="dxa"/>
            <w:vAlign w:val="center"/>
          </w:tcPr>
          <w:p w14:paraId="1F11BEEA" w14:textId="34B5C65A" w:rsidR="00911766" w:rsidRDefault="009F7C0D" w:rsidP="007502A2">
            <w:pPr>
              <w:pStyle w:val="ListParagraph"/>
              <w:numPr>
                <w:ilvl w:val="0"/>
                <w:numId w:val="4"/>
              </w:numPr>
              <w:spacing w:before="120" w:after="0" w:line="276" w:lineRule="auto"/>
              <w:ind w:left="290" w:hanging="284"/>
              <w:contextualSpacing w:val="0"/>
              <w:rPr>
                <w:rFonts w:cs="Arial"/>
                <w:szCs w:val="26"/>
              </w:rPr>
            </w:pPr>
            <w:r>
              <w:rPr>
                <w:rFonts w:cs="Arial"/>
                <w:szCs w:val="26"/>
              </w:rPr>
              <w:t>Up to $5000 (matched funding)</w:t>
            </w:r>
          </w:p>
          <w:p w14:paraId="06D5D73A" w14:textId="0E7C0ED5" w:rsidR="009F7C0D" w:rsidRDefault="009F7C0D" w:rsidP="007502A2">
            <w:pPr>
              <w:pStyle w:val="ListParagraph"/>
              <w:numPr>
                <w:ilvl w:val="0"/>
                <w:numId w:val="4"/>
              </w:numPr>
              <w:spacing w:after="0" w:line="276" w:lineRule="auto"/>
              <w:ind w:left="290" w:hanging="284"/>
              <w:contextualSpacing w:val="0"/>
              <w:rPr>
                <w:rFonts w:cs="Arial"/>
                <w:szCs w:val="26"/>
              </w:rPr>
            </w:pPr>
            <w:r>
              <w:rPr>
                <w:rFonts w:cs="Arial"/>
                <w:szCs w:val="26"/>
              </w:rPr>
              <w:t>Up to $</w:t>
            </w:r>
            <w:r w:rsidR="00E00525">
              <w:rPr>
                <w:rFonts w:cs="Arial"/>
                <w:szCs w:val="26"/>
              </w:rPr>
              <w:t>8</w:t>
            </w:r>
            <w:r w:rsidR="00102E0A">
              <w:rPr>
                <w:rFonts w:cs="Arial"/>
                <w:szCs w:val="26"/>
              </w:rPr>
              <w:t>,</w:t>
            </w:r>
            <w:r>
              <w:rPr>
                <w:rFonts w:cs="Arial"/>
                <w:szCs w:val="26"/>
              </w:rPr>
              <w:t>000</w:t>
            </w:r>
          </w:p>
          <w:p w14:paraId="54AE72BB" w14:textId="00075915" w:rsidR="009F7C0D" w:rsidRPr="009F7C0D" w:rsidRDefault="009F7C0D" w:rsidP="007502A2">
            <w:pPr>
              <w:pStyle w:val="ListParagraph"/>
              <w:numPr>
                <w:ilvl w:val="0"/>
                <w:numId w:val="4"/>
              </w:numPr>
              <w:spacing w:after="120" w:line="276" w:lineRule="auto"/>
              <w:ind w:left="290" w:hanging="284"/>
              <w:contextualSpacing w:val="0"/>
              <w:rPr>
                <w:rFonts w:cs="Arial"/>
                <w:szCs w:val="26"/>
              </w:rPr>
            </w:pPr>
            <w:r>
              <w:rPr>
                <w:rFonts w:cs="Arial"/>
                <w:szCs w:val="26"/>
              </w:rPr>
              <w:t>Up to $1</w:t>
            </w:r>
            <w:r w:rsidR="00102E0A">
              <w:rPr>
                <w:rFonts w:cs="Arial"/>
                <w:szCs w:val="26"/>
              </w:rPr>
              <w:t>,</w:t>
            </w:r>
            <w:r>
              <w:rPr>
                <w:rFonts w:cs="Arial"/>
                <w:szCs w:val="26"/>
              </w:rPr>
              <w:t>000</w:t>
            </w:r>
            <w:r w:rsidR="00E00525">
              <w:rPr>
                <w:rFonts w:cs="Arial"/>
                <w:szCs w:val="26"/>
              </w:rPr>
              <w:br/>
              <w:t>(in-kind only)</w:t>
            </w:r>
          </w:p>
        </w:tc>
      </w:tr>
      <w:tr w:rsidR="00AE2B0E" w:rsidRPr="00FB3051" w14:paraId="4627EA75" w14:textId="77777777" w:rsidTr="00E35BE6">
        <w:tc>
          <w:tcPr>
            <w:tcW w:w="1952" w:type="dxa"/>
            <w:vAlign w:val="center"/>
          </w:tcPr>
          <w:p w14:paraId="08156D1D" w14:textId="3776F7AE" w:rsidR="00AE2B0E" w:rsidRDefault="003B53CF" w:rsidP="00E92620">
            <w:pPr>
              <w:spacing w:after="0"/>
              <w:ind w:left="0"/>
              <w:rPr>
                <w:rFonts w:cs="Arial"/>
                <w:szCs w:val="26"/>
              </w:rPr>
            </w:pPr>
            <w:r>
              <w:rPr>
                <w:rFonts w:cs="Arial"/>
                <w:szCs w:val="26"/>
              </w:rPr>
              <w:t>Venue Support</w:t>
            </w:r>
          </w:p>
        </w:tc>
        <w:tc>
          <w:tcPr>
            <w:tcW w:w="3827" w:type="dxa"/>
            <w:vAlign w:val="center"/>
          </w:tcPr>
          <w:p w14:paraId="3907B33F" w14:textId="63E1DE5A" w:rsidR="00AE2B0E" w:rsidRPr="00446018" w:rsidRDefault="00446018" w:rsidP="00446018">
            <w:pPr>
              <w:spacing w:after="0" w:line="276" w:lineRule="auto"/>
              <w:ind w:left="5"/>
              <w:rPr>
                <w:rFonts w:cs="Arial"/>
                <w:szCs w:val="26"/>
              </w:rPr>
            </w:pPr>
            <w:r>
              <w:rPr>
                <w:rFonts w:cs="Arial"/>
                <w:szCs w:val="26"/>
              </w:rPr>
              <w:t xml:space="preserve">- </w:t>
            </w:r>
            <w:r w:rsidR="00AE2B0E" w:rsidRPr="00446018">
              <w:rPr>
                <w:rFonts w:cs="Arial"/>
                <w:szCs w:val="26"/>
              </w:rPr>
              <w:t>Venue Support Quick Response</w:t>
            </w:r>
          </w:p>
        </w:tc>
        <w:tc>
          <w:tcPr>
            <w:tcW w:w="2551" w:type="dxa"/>
            <w:vAlign w:val="center"/>
          </w:tcPr>
          <w:p w14:paraId="77745D30" w14:textId="030F7291" w:rsidR="00AE2B0E" w:rsidRDefault="00AE2B0E" w:rsidP="007502A2">
            <w:pPr>
              <w:pStyle w:val="ListParagraph"/>
              <w:numPr>
                <w:ilvl w:val="0"/>
                <w:numId w:val="4"/>
              </w:numPr>
              <w:spacing w:before="120" w:after="120" w:line="276" w:lineRule="auto"/>
              <w:ind w:left="290" w:hanging="284"/>
              <w:contextualSpacing w:val="0"/>
              <w:rPr>
                <w:rFonts w:cs="Arial"/>
                <w:szCs w:val="26"/>
              </w:rPr>
            </w:pPr>
            <w:r>
              <w:rPr>
                <w:rFonts w:cs="Arial"/>
                <w:szCs w:val="26"/>
              </w:rPr>
              <w:t>Up to $1</w:t>
            </w:r>
            <w:r w:rsidR="00102E0A">
              <w:rPr>
                <w:rFonts w:cs="Arial"/>
                <w:szCs w:val="26"/>
              </w:rPr>
              <w:t>,</w:t>
            </w:r>
            <w:r>
              <w:rPr>
                <w:rFonts w:cs="Arial"/>
                <w:szCs w:val="26"/>
              </w:rPr>
              <w:t>000</w:t>
            </w:r>
            <w:r w:rsidR="007502A2">
              <w:rPr>
                <w:rFonts w:cs="Arial"/>
                <w:szCs w:val="26"/>
              </w:rPr>
              <w:br/>
            </w:r>
            <w:r>
              <w:rPr>
                <w:rFonts w:cs="Arial"/>
                <w:szCs w:val="26"/>
              </w:rPr>
              <w:t>(in-kind only)</w:t>
            </w:r>
          </w:p>
        </w:tc>
      </w:tr>
      <w:tr w:rsidR="00644331" w:rsidRPr="00FB3051" w14:paraId="4CE6411F" w14:textId="77777777" w:rsidTr="00AE2B0E">
        <w:tc>
          <w:tcPr>
            <w:tcW w:w="1952" w:type="dxa"/>
            <w:tcBorders>
              <w:bottom w:val="single" w:sz="4" w:space="0" w:color="auto"/>
            </w:tcBorders>
            <w:vAlign w:val="center"/>
          </w:tcPr>
          <w:p w14:paraId="627ADAC1" w14:textId="385D1309" w:rsidR="00644331" w:rsidRDefault="00644331" w:rsidP="00E92620">
            <w:pPr>
              <w:spacing w:after="0"/>
              <w:ind w:left="0"/>
              <w:rPr>
                <w:rFonts w:cs="Arial"/>
                <w:szCs w:val="26"/>
              </w:rPr>
            </w:pPr>
            <w:r>
              <w:rPr>
                <w:rFonts w:cs="Arial"/>
                <w:szCs w:val="26"/>
              </w:rPr>
              <w:t>City Partnership</w:t>
            </w:r>
          </w:p>
        </w:tc>
        <w:tc>
          <w:tcPr>
            <w:tcW w:w="3827" w:type="dxa"/>
            <w:tcBorders>
              <w:bottom w:val="single" w:sz="4" w:space="0" w:color="auto"/>
            </w:tcBorders>
            <w:vAlign w:val="center"/>
          </w:tcPr>
          <w:p w14:paraId="78E0EA46" w14:textId="26FA289C" w:rsidR="00644331" w:rsidRPr="00446018" w:rsidRDefault="00446018" w:rsidP="00446018">
            <w:pPr>
              <w:spacing w:before="120" w:after="0" w:line="276" w:lineRule="auto"/>
              <w:ind w:left="6"/>
              <w:rPr>
                <w:rFonts w:cs="Arial"/>
                <w:szCs w:val="26"/>
              </w:rPr>
            </w:pPr>
            <w:r>
              <w:rPr>
                <w:rFonts w:cs="Arial"/>
                <w:szCs w:val="26"/>
              </w:rPr>
              <w:t xml:space="preserve">- </w:t>
            </w:r>
            <w:r w:rsidR="00C51D0F" w:rsidRPr="00446018">
              <w:rPr>
                <w:rFonts w:cs="Arial"/>
                <w:szCs w:val="26"/>
              </w:rPr>
              <w:t>Small</w:t>
            </w:r>
          </w:p>
          <w:p w14:paraId="1E270F7B" w14:textId="65F4AC68" w:rsidR="00644331" w:rsidRPr="00446018" w:rsidRDefault="00446018" w:rsidP="00446018">
            <w:pPr>
              <w:spacing w:after="120" w:line="276" w:lineRule="auto"/>
              <w:ind w:left="6"/>
              <w:rPr>
                <w:rFonts w:cs="Arial"/>
                <w:szCs w:val="26"/>
              </w:rPr>
            </w:pPr>
            <w:r>
              <w:rPr>
                <w:rFonts w:cs="Arial"/>
                <w:szCs w:val="26"/>
              </w:rPr>
              <w:t xml:space="preserve">- </w:t>
            </w:r>
            <w:r w:rsidR="00191667" w:rsidRPr="00446018">
              <w:rPr>
                <w:rFonts w:cs="Arial"/>
                <w:szCs w:val="26"/>
              </w:rPr>
              <w:t>Large</w:t>
            </w:r>
          </w:p>
        </w:tc>
        <w:tc>
          <w:tcPr>
            <w:tcW w:w="2551" w:type="dxa"/>
            <w:tcBorders>
              <w:bottom w:val="single" w:sz="4" w:space="0" w:color="auto"/>
            </w:tcBorders>
            <w:vAlign w:val="center"/>
          </w:tcPr>
          <w:p w14:paraId="004F2F94" w14:textId="77777777" w:rsidR="00644331" w:rsidRDefault="00644331" w:rsidP="006F3F10">
            <w:pPr>
              <w:pStyle w:val="ListParagraph"/>
              <w:numPr>
                <w:ilvl w:val="0"/>
                <w:numId w:val="4"/>
              </w:numPr>
              <w:spacing w:before="120" w:after="0" w:line="276" w:lineRule="auto"/>
              <w:ind w:left="290" w:hanging="284"/>
              <w:contextualSpacing w:val="0"/>
              <w:rPr>
                <w:rFonts w:cs="Arial"/>
                <w:szCs w:val="26"/>
              </w:rPr>
            </w:pPr>
            <w:r>
              <w:rPr>
                <w:rFonts w:cs="Arial"/>
                <w:szCs w:val="26"/>
              </w:rPr>
              <w:t>$10,000</w:t>
            </w:r>
          </w:p>
          <w:p w14:paraId="5B89B4B4" w14:textId="1D9B208A" w:rsidR="00644331" w:rsidRDefault="00CF47C2">
            <w:pPr>
              <w:pStyle w:val="ListParagraph"/>
              <w:numPr>
                <w:ilvl w:val="0"/>
                <w:numId w:val="4"/>
              </w:numPr>
              <w:spacing w:before="120" w:after="0" w:line="276" w:lineRule="auto"/>
              <w:ind w:left="289" w:hanging="283"/>
              <w:rPr>
                <w:rFonts w:cs="Arial"/>
                <w:szCs w:val="26"/>
              </w:rPr>
            </w:pPr>
            <w:r>
              <w:rPr>
                <w:rFonts w:cs="Arial"/>
                <w:szCs w:val="26"/>
              </w:rPr>
              <w:t>$30,000</w:t>
            </w:r>
          </w:p>
        </w:tc>
      </w:tr>
    </w:tbl>
    <w:p w14:paraId="636C527E" w14:textId="2566546B" w:rsidR="006D2797" w:rsidRDefault="006D2797" w:rsidP="00262D10">
      <w:pPr>
        <w:pStyle w:val="Heading7"/>
        <w:numPr>
          <w:ilvl w:val="0"/>
          <w:numId w:val="0"/>
        </w:numPr>
        <w:spacing w:before="240"/>
        <w:ind w:left="1134" w:hanging="567"/>
      </w:pPr>
      <w:r>
        <w:t>3.</w:t>
      </w:r>
      <w:r>
        <w:tab/>
      </w:r>
      <w:r w:rsidRPr="006D2797">
        <w:t>The grant streams for Event Grants, Medium Cultural Grants, Small Cultural Grants</w:t>
      </w:r>
      <w:r w:rsidR="00C264C7">
        <w:t>,</w:t>
      </w:r>
      <w:r w:rsidR="00B74E5F">
        <w:t xml:space="preserve"> </w:t>
      </w:r>
      <w:r w:rsidRPr="006D2797">
        <w:t>Small Community Grants</w:t>
      </w:r>
      <w:r w:rsidR="00E00525">
        <w:t xml:space="preserve"> and</w:t>
      </w:r>
      <w:r w:rsidR="00C264C7">
        <w:t xml:space="preserve"> Shopfront Improvement </w:t>
      </w:r>
      <w:r w:rsidR="00891102">
        <w:t>Grants</w:t>
      </w:r>
      <w:r w:rsidRPr="006D2797">
        <w:t xml:space="preserve"> will be available to the public twice yearly</w:t>
      </w:r>
      <w:r w:rsidR="00B74E5F">
        <w:t xml:space="preserve"> opening</w:t>
      </w:r>
      <w:r w:rsidRPr="006D2797">
        <w:t xml:space="preserve"> in August and February each year</w:t>
      </w:r>
      <w:r w:rsidR="00B74E5F">
        <w:t xml:space="preserve">. </w:t>
      </w:r>
      <w:r w:rsidR="003B53CF">
        <w:t xml:space="preserve"> </w:t>
      </w:r>
      <w:r w:rsidR="00B74E5F">
        <w:t>T</w:t>
      </w:r>
      <w:r w:rsidRPr="006D2797">
        <w:t xml:space="preserve">he grant allocation pools </w:t>
      </w:r>
      <w:r w:rsidR="00B74E5F">
        <w:t>will be</w:t>
      </w:r>
      <w:r w:rsidR="00B74E5F" w:rsidRPr="006D2797">
        <w:t xml:space="preserve"> </w:t>
      </w:r>
      <w:r w:rsidRPr="006D2797">
        <w:t>distributed between both rounds.</w:t>
      </w:r>
      <w:r w:rsidR="00E00525">
        <w:t xml:space="preserve">  The Local Trader Marketing Grant will be available to the public once a year for a two month period from February to March.</w:t>
      </w:r>
    </w:p>
    <w:p w14:paraId="2911D838" w14:textId="77777777" w:rsidR="00991FB2" w:rsidRDefault="00991FB2" w:rsidP="00991FB2"/>
    <w:p w14:paraId="055E7478" w14:textId="77777777" w:rsidR="00BB08AA" w:rsidRDefault="00BB08AA" w:rsidP="00991FB2"/>
    <w:p w14:paraId="755767CB" w14:textId="77777777" w:rsidR="00A829A2" w:rsidRPr="00991FB2" w:rsidRDefault="00A829A2" w:rsidP="00991FB2"/>
    <w:p w14:paraId="30DC595D" w14:textId="4A807722" w:rsidR="007C7DDF" w:rsidRDefault="006D2797" w:rsidP="00BB08AA">
      <w:pPr>
        <w:spacing w:after="180"/>
        <w:ind w:left="1134" w:hanging="567"/>
        <w:rPr>
          <w:rFonts w:eastAsiaTheme="majorEastAsia" w:cstheme="majorBidi"/>
          <w:iCs/>
        </w:rPr>
      </w:pPr>
      <w:r>
        <w:rPr>
          <w:rFonts w:eastAsiaTheme="majorEastAsia" w:cstheme="majorBidi"/>
          <w:iCs/>
        </w:rPr>
        <w:t>4.</w:t>
      </w:r>
      <w:r>
        <w:rPr>
          <w:rFonts w:eastAsiaTheme="majorEastAsia" w:cstheme="majorBidi"/>
          <w:iCs/>
        </w:rPr>
        <w:tab/>
      </w:r>
      <w:r w:rsidR="00ED0AA0">
        <w:rPr>
          <w:rFonts w:eastAsiaTheme="majorEastAsia" w:cstheme="majorBidi"/>
          <w:iCs/>
        </w:rPr>
        <w:t xml:space="preserve">The </w:t>
      </w:r>
      <w:r w:rsidR="00F411B0">
        <w:rPr>
          <w:rFonts w:eastAsiaTheme="majorEastAsia" w:cstheme="majorBidi"/>
          <w:iCs/>
        </w:rPr>
        <w:t>following criteria</w:t>
      </w:r>
      <w:r w:rsidR="007C7DDF">
        <w:rPr>
          <w:rFonts w:eastAsiaTheme="majorEastAsia" w:cstheme="majorBidi"/>
          <w:iCs/>
        </w:rPr>
        <w:t xml:space="preserve"> will be applied to the </w:t>
      </w:r>
      <w:r w:rsidR="00ED0AA0">
        <w:rPr>
          <w:rFonts w:eastAsiaTheme="majorEastAsia" w:cstheme="majorBidi"/>
          <w:iCs/>
        </w:rPr>
        <w:t>City Partnership grants</w:t>
      </w:r>
      <w:r w:rsidR="007C7DDF">
        <w:rPr>
          <w:rFonts w:eastAsiaTheme="majorEastAsia" w:cstheme="majorBidi"/>
          <w:iCs/>
        </w:rPr>
        <w:t>.</w:t>
      </w:r>
    </w:p>
    <w:p w14:paraId="30F51DB8" w14:textId="1136CE29" w:rsidR="00C82C1F" w:rsidRPr="00E35BE6" w:rsidRDefault="007C7DDF" w:rsidP="00BB08AA">
      <w:pPr>
        <w:pStyle w:val="ListParagraph"/>
        <w:numPr>
          <w:ilvl w:val="2"/>
          <w:numId w:val="9"/>
        </w:numPr>
        <w:spacing w:after="180"/>
        <w:ind w:left="1559" w:hanging="357"/>
        <w:contextualSpacing w:val="0"/>
        <w:rPr>
          <w:rFonts w:eastAsiaTheme="majorEastAsia" w:cstheme="majorBidi"/>
          <w:iCs/>
        </w:rPr>
      </w:pPr>
      <w:r w:rsidRPr="00E35BE6">
        <w:rPr>
          <w:rFonts w:eastAsiaTheme="majorEastAsia" w:cstheme="majorBidi"/>
          <w:iCs/>
        </w:rPr>
        <w:t xml:space="preserve">Events that have been delivered within the City of Hobart for at least </w:t>
      </w:r>
      <w:r w:rsidR="005126C7">
        <w:rPr>
          <w:rFonts w:eastAsiaTheme="majorEastAsia" w:cstheme="majorBidi"/>
          <w:iCs/>
        </w:rPr>
        <w:t>ten</w:t>
      </w:r>
      <w:r w:rsidR="005126C7" w:rsidRPr="00E35BE6">
        <w:rPr>
          <w:rFonts w:eastAsiaTheme="majorEastAsia" w:cstheme="majorBidi"/>
          <w:iCs/>
        </w:rPr>
        <w:t xml:space="preserve"> </w:t>
      </w:r>
      <w:r w:rsidRPr="00E35BE6">
        <w:rPr>
          <w:rFonts w:eastAsiaTheme="majorEastAsia" w:cstheme="majorBidi"/>
          <w:iCs/>
        </w:rPr>
        <w:t>years;</w:t>
      </w:r>
    </w:p>
    <w:p w14:paraId="2EFB49D9" w14:textId="36E3AB0A" w:rsidR="007C7DDF" w:rsidRPr="00E35BE6" w:rsidRDefault="007C7DDF" w:rsidP="00BB08AA">
      <w:pPr>
        <w:pStyle w:val="ListParagraph"/>
        <w:numPr>
          <w:ilvl w:val="2"/>
          <w:numId w:val="9"/>
        </w:numPr>
        <w:spacing w:after="180"/>
        <w:ind w:left="1559" w:hanging="357"/>
        <w:contextualSpacing w:val="0"/>
        <w:rPr>
          <w:rFonts w:eastAsiaTheme="majorEastAsia" w:cstheme="majorBidi"/>
          <w:iCs/>
        </w:rPr>
      </w:pPr>
      <w:r w:rsidRPr="00E35BE6">
        <w:rPr>
          <w:rFonts w:eastAsiaTheme="majorEastAsia" w:cstheme="majorBidi"/>
          <w:iCs/>
        </w:rPr>
        <w:t>Small to mid</w:t>
      </w:r>
      <w:r w:rsidR="00577CC2">
        <w:rPr>
          <w:rFonts w:eastAsiaTheme="majorEastAsia" w:cstheme="majorBidi"/>
          <w:iCs/>
        </w:rPr>
        <w:t>-</w:t>
      </w:r>
      <w:r w:rsidRPr="00E35BE6">
        <w:rPr>
          <w:rFonts w:eastAsiaTheme="majorEastAsia" w:cstheme="majorBidi"/>
          <w:iCs/>
        </w:rPr>
        <w:t>sized community, cultural or commemorative events that are not eligible to apply for Even</w:t>
      </w:r>
      <w:r w:rsidR="009D198C">
        <w:rPr>
          <w:rFonts w:eastAsiaTheme="majorEastAsia" w:cstheme="majorBidi"/>
          <w:iCs/>
        </w:rPr>
        <w:t>t Partnership Grant funding;</w:t>
      </w:r>
    </w:p>
    <w:p w14:paraId="794CD5E2" w14:textId="66D41593" w:rsidR="007C7DDF" w:rsidRPr="00E35BE6" w:rsidRDefault="007C7DDF" w:rsidP="00BB08AA">
      <w:pPr>
        <w:pStyle w:val="ListParagraph"/>
        <w:numPr>
          <w:ilvl w:val="2"/>
          <w:numId w:val="9"/>
        </w:numPr>
        <w:spacing w:after="180"/>
        <w:ind w:left="1559" w:hanging="357"/>
        <w:contextualSpacing w:val="0"/>
        <w:rPr>
          <w:rFonts w:eastAsiaTheme="majorEastAsia" w:cstheme="majorBidi"/>
          <w:iCs/>
        </w:rPr>
      </w:pPr>
      <w:r w:rsidRPr="00E35BE6">
        <w:rPr>
          <w:rFonts w:eastAsiaTheme="majorEastAsia" w:cstheme="majorBidi"/>
          <w:iCs/>
        </w:rPr>
        <w:t>Events that are held on or in City of Hobart property or venues and that utilise City of Hobart infrastruc</w:t>
      </w:r>
      <w:r w:rsidR="00C87030">
        <w:rPr>
          <w:rFonts w:eastAsiaTheme="majorEastAsia" w:cstheme="majorBidi"/>
          <w:iCs/>
        </w:rPr>
        <w:t>ture, services and/or equipment; and</w:t>
      </w:r>
    </w:p>
    <w:p w14:paraId="36ADDB68" w14:textId="21F037C2" w:rsidR="007C7DDF" w:rsidRPr="00E35BE6" w:rsidRDefault="007C7DDF" w:rsidP="00E35BE6">
      <w:pPr>
        <w:pStyle w:val="ListParagraph"/>
        <w:numPr>
          <w:ilvl w:val="2"/>
          <w:numId w:val="9"/>
        </w:numPr>
        <w:ind w:left="1560"/>
        <w:rPr>
          <w:rFonts w:eastAsiaTheme="majorEastAsia" w:cstheme="majorBidi"/>
          <w:iCs/>
        </w:rPr>
      </w:pPr>
      <w:r w:rsidRPr="00E35BE6">
        <w:rPr>
          <w:rFonts w:eastAsiaTheme="majorEastAsia" w:cstheme="majorBidi"/>
          <w:iCs/>
        </w:rPr>
        <w:t>This program does not provide support for sporting or recreational focussed events and activities.</w:t>
      </w:r>
    </w:p>
    <w:p w14:paraId="589F87BC" w14:textId="2D11E81C" w:rsidR="00ED0AA0" w:rsidRDefault="007C7DDF" w:rsidP="00E35BE6">
      <w:pPr>
        <w:ind w:left="1134"/>
        <w:rPr>
          <w:rFonts w:eastAsiaTheme="majorEastAsia" w:cstheme="majorBidi"/>
          <w:iCs/>
        </w:rPr>
      </w:pPr>
      <w:r>
        <w:rPr>
          <w:rFonts w:eastAsiaTheme="majorEastAsia" w:cstheme="majorBidi"/>
          <w:iCs/>
        </w:rPr>
        <w:t>The City Partnership grants</w:t>
      </w:r>
      <w:r w:rsidR="00ED0AA0">
        <w:rPr>
          <w:rFonts w:eastAsiaTheme="majorEastAsia" w:cstheme="majorBidi"/>
          <w:iCs/>
        </w:rPr>
        <w:t xml:space="preserve"> will </w:t>
      </w:r>
      <w:r w:rsidR="009D198C">
        <w:rPr>
          <w:rFonts w:eastAsiaTheme="majorEastAsia" w:cstheme="majorBidi"/>
          <w:iCs/>
        </w:rPr>
        <w:t xml:space="preserve">be provided through a </w:t>
      </w:r>
      <w:r w:rsidR="00577CC2">
        <w:rPr>
          <w:rFonts w:eastAsiaTheme="majorEastAsia" w:cstheme="majorBidi"/>
          <w:iCs/>
        </w:rPr>
        <w:t>five (</w:t>
      </w:r>
      <w:r w:rsidR="009D198C">
        <w:rPr>
          <w:rFonts w:eastAsiaTheme="majorEastAsia" w:cstheme="majorBidi"/>
          <w:iCs/>
        </w:rPr>
        <w:t>5</w:t>
      </w:r>
      <w:r w:rsidR="00577CC2">
        <w:rPr>
          <w:rFonts w:eastAsiaTheme="majorEastAsia" w:cstheme="majorBidi"/>
          <w:iCs/>
        </w:rPr>
        <w:t>)</w:t>
      </w:r>
      <w:r w:rsidR="009D198C">
        <w:rPr>
          <w:rFonts w:eastAsiaTheme="majorEastAsia" w:cstheme="majorBidi"/>
          <w:iCs/>
        </w:rPr>
        <w:t xml:space="preserve"> year partnership agreement with each of the f</w:t>
      </w:r>
      <w:r w:rsidR="00ED0AA0">
        <w:rPr>
          <w:rFonts w:eastAsiaTheme="majorEastAsia" w:cstheme="majorBidi"/>
          <w:iCs/>
        </w:rPr>
        <w:t>ollowing organisations</w:t>
      </w:r>
      <w:r w:rsidR="00991FB2">
        <w:rPr>
          <w:rFonts w:eastAsiaTheme="majorEastAsia" w:cstheme="majorBidi"/>
          <w:iCs/>
        </w:rPr>
        <w:t>:</w:t>
      </w:r>
    </w:p>
    <w:p w14:paraId="7197C1A4" w14:textId="77777777" w:rsidR="00C51D0F" w:rsidRDefault="00C51D0F" w:rsidP="00A829A2">
      <w:pPr>
        <w:pStyle w:val="ListParagraph"/>
        <w:numPr>
          <w:ilvl w:val="0"/>
          <w:numId w:val="10"/>
        </w:numPr>
        <w:spacing w:after="60"/>
        <w:ind w:left="1560"/>
        <w:contextualSpacing w:val="0"/>
        <w:rPr>
          <w:rFonts w:eastAsiaTheme="majorEastAsia" w:cstheme="majorBidi"/>
          <w:iCs/>
        </w:rPr>
      </w:pPr>
      <w:r>
        <w:rPr>
          <w:rFonts w:eastAsiaTheme="majorEastAsia" w:cstheme="majorBidi"/>
          <w:iCs/>
        </w:rPr>
        <w:t>Small</w:t>
      </w:r>
    </w:p>
    <w:p w14:paraId="6714B7D9" w14:textId="65ECB62C" w:rsidR="00ED0AA0" w:rsidRPr="00E35BE6" w:rsidRDefault="00ED0AA0" w:rsidP="00A829A2">
      <w:pPr>
        <w:pStyle w:val="ListParagraph"/>
        <w:numPr>
          <w:ilvl w:val="1"/>
          <w:numId w:val="10"/>
        </w:numPr>
        <w:spacing w:after="60"/>
        <w:contextualSpacing w:val="0"/>
        <w:rPr>
          <w:rFonts w:eastAsiaTheme="majorEastAsia" w:cstheme="majorBidi"/>
          <w:iCs/>
        </w:rPr>
      </w:pPr>
      <w:r w:rsidRPr="00E35BE6">
        <w:rPr>
          <w:rFonts w:eastAsiaTheme="majorEastAsia" w:cstheme="majorBidi"/>
          <w:iCs/>
        </w:rPr>
        <w:t>Festa Italia</w:t>
      </w:r>
    </w:p>
    <w:p w14:paraId="20DDE67C" w14:textId="2486E3D9" w:rsidR="00ED0AA0" w:rsidRDefault="00ED0AA0" w:rsidP="00A829A2">
      <w:pPr>
        <w:pStyle w:val="ListParagraph"/>
        <w:numPr>
          <w:ilvl w:val="1"/>
          <w:numId w:val="10"/>
        </w:numPr>
        <w:spacing w:after="60"/>
        <w:contextualSpacing w:val="0"/>
        <w:rPr>
          <w:rFonts w:eastAsiaTheme="majorEastAsia" w:cstheme="majorBidi"/>
          <w:iCs/>
        </w:rPr>
      </w:pPr>
      <w:r w:rsidRPr="00E35BE6">
        <w:rPr>
          <w:rFonts w:eastAsiaTheme="majorEastAsia" w:cstheme="majorBidi"/>
          <w:iCs/>
        </w:rPr>
        <w:t>Greek Orthodox Church and Benevolent Society of St George (Hobart) (Estia Greek Festival)</w:t>
      </w:r>
    </w:p>
    <w:p w14:paraId="32FF3D70" w14:textId="77777777" w:rsidR="00C51D0F" w:rsidRPr="00497DF5" w:rsidRDefault="00C51D0F" w:rsidP="00EE2C95">
      <w:pPr>
        <w:pStyle w:val="ListParagraph"/>
        <w:numPr>
          <w:ilvl w:val="1"/>
          <w:numId w:val="10"/>
        </w:numPr>
        <w:contextualSpacing w:val="0"/>
        <w:rPr>
          <w:rFonts w:eastAsiaTheme="majorEastAsia" w:cstheme="majorBidi"/>
          <w:iCs/>
        </w:rPr>
      </w:pPr>
      <w:r w:rsidRPr="00497DF5">
        <w:rPr>
          <w:rFonts w:eastAsiaTheme="majorEastAsia" w:cstheme="majorBidi"/>
          <w:iCs/>
        </w:rPr>
        <w:t>The City of Hobart Eisteddfod</w:t>
      </w:r>
    </w:p>
    <w:p w14:paraId="4515B117" w14:textId="13CD4D64" w:rsidR="00C51D0F" w:rsidRDefault="00191667" w:rsidP="00A829A2">
      <w:pPr>
        <w:pStyle w:val="ListParagraph"/>
        <w:numPr>
          <w:ilvl w:val="0"/>
          <w:numId w:val="10"/>
        </w:numPr>
        <w:spacing w:after="60"/>
        <w:ind w:left="1560"/>
        <w:contextualSpacing w:val="0"/>
        <w:rPr>
          <w:rFonts w:eastAsiaTheme="majorEastAsia" w:cstheme="majorBidi"/>
          <w:iCs/>
        </w:rPr>
      </w:pPr>
      <w:r>
        <w:rPr>
          <w:rFonts w:eastAsiaTheme="majorEastAsia" w:cstheme="majorBidi"/>
          <w:iCs/>
        </w:rPr>
        <w:t>Large</w:t>
      </w:r>
    </w:p>
    <w:p w14:paraId="7BDFF70A" w14:textId="6C37A9E7" w:rsidR="00ED0AA0" w:rsidRPr="00E35BE6" w:rsidRDefault="00ED0AA0" w:rsidP="00A829A2">
      <w:pPr>
        <w:pStyle w:val="ListParagraph"/>
        <w:numPr>
          <w:ilvl w:val="1"/>
          <w:numId w:val="10"/>
        </w:numPr>
        <w:spacing w:after="60"/>
        <w:contextualSpacing w:val="0"/>
        <w:rPr>
          <w:rFonts w:eastAsiaTheme="majorEastAsia" w:cstheme="majorBidi"/>
          <w:iCs/>
        </w:rPr>
      </w:pPr>
      <w:r w:rsidRPr="00E35BE6">
        <w:rPr>
          <w:rFonts w:eastAsiaTheme="majorEastAsia" w:cstheme="majorBidi"/>
          <w:iCs/>
        </w:rPr>
        <w:t>The Royal Hobart Regatta</w:t>
      </w:r>
    </w:p>
    <w:p w14:paraId="5A152C39" w14:textId="54EA321D" w:rsidR="00ED0AA0" w:rsidRPr="00E35BE6" w:rsidRDefault="00ED0AA0" w:rsidP="00A829A2">
      <w:pPr>
        <w:pStyle w:val="ListParagraph"/>
        <w:numPr>
          <w:ilvl w:val="1"/>
          <w:numId w:val="10"/>
        </w:numPr>
        <w:spacing w:after="60"/>
        <w:contextualSpacing w:val="0"/>
        <w:rPr>
          <w:rFonts w:eastAsiaTheme="majorEastAsia" w:cstheme="majorBidi"/>
          <w:iCs/>
        </w:rPr>
      </w:pPr>
      <w:r w:rsidRPr="00E35BE6">
        <w:rPr>
          <w:rFonts w:eastAsiaTheme="majorEastAsia" w:cstheme="majorBidi"/>
          <w:iCs/>
        </w:rPr>
        <w:t>The Sandy Bay Regatta</w:t>
      </w:r>
    </w:p>
    <w:p w14:paraId="066DD167" w14:textId="77777777" w:rsidR="00ED0AA0" w:rsidRPr="00E35BE6" w:rsidRDefault="00ED0AA0" w:rsidP="00E35BE6">
      <w:pPr>
        <w:pStyle w:val="ListParagraph"/>
        <w:numPr>
          <w:ilvl w:val="1"/>
          <w:numId w:val="10"/>
        </w:numPr>
        <w:rPr>
          <w:rFonts w:eastAsiaTheme="majorEastAsia" w:cstheme="majorBidi"/>
          <w:iCs/>
        </w:rPr>
      </w:pPr>
      <w:r w:rsidRPr="00E35BE6">
        <w:rPr>
          <w:rFonts w:eastAsiaTheme="majorEastAsia" w:cstheme="majorBidi"/>
          <w:iCs/>
        </w:rPr>
        <w:t xml:space="preserve">RSL Tasmania, Hobart ANZAC Day Commemorative Committee </w:t>
      </w:r>
    </w:p>
    <w:p w14:paraId="3C62C608" w14:textId="77777777" w:rsidR="009D198C" w:rsidRDefault="009D198C" w:rsidP="00E35BE6">
      <w:pPr>
        <w:ind w:left="1134"/>
        <w:rPr>
          <w:rFonts w:eastAsiaTheme="majorEastAsia" w:cstheme="majorBidi"/>
          <w:iCs/>
        </w:rPr>
      </w:pPr>
      <w:r>
        <w:rPr>
          <w:rFonts w:eastAsiaTheme="majorEastAsia" w:cstheme="majorBidi"/>
          <w:iCs/>
        </w:rPr>
        <w:t>City Partnership funded organisations are not eligible to apply for funding through any other City of Hobart grant funding stream.</w:t>
      </w:r>
    </w:p>
    <w:p w14:paraId="5D1F45D9" w14:textId="261DB593" w:rsidR="00FA2E8C" w:rsidRDefault="00FA2E8C" w:rsidP="00E35BE6">
      <w:pPr>
        <w:ind w:left="1134"/>
        <w:rPr>
          <w:rFonts w:eastAsiaTheme="majorEastAsia" w:cstheme="majorBidi"/>
          <w:iCs/>
        </w:rPr>
      </w:pPr>
      <w:r>
        <w:rPr>
          <w:rFonts w:eastAsiaTheme="majorEastAsia" w:cstheme="majorBidi"/>
          <w:iCs/>
        </w:rPr>
        <w:t>Each organisation funded through the City Partnersh</w:t>
      </w:r>
      <w:r w:rsidR="00CF0893">
        <w:rPr>
          <w:rFonts w:eastAsiaTheme="majorEastAsia" w:cstheme="majorBidi"/>
          <w:iCs/>
        </w:rPr>
        <w:t xml:space="preserve">ip grant stream will provide </w:t>
      </w:r>
      <w:r w:rsidRPr="00FA2E8C">
        <w:rPr>
          <w:rFonts w:eastAsiaTheme="majorEastAsia" w:cstheme="majorBidi"/>
          <w:iCs/>
        </w:rPr>
        <w:t>an annual report to Council that includes information on expenditure and utilisation of City of Hobart financial and in-kind support as well as other details on the delivery of the event</w:t>
      </w:r>
      <w:r w:rsidR="00A829A2">
        <w:rPr>
          <w:rFonts w:eastAsiaTheme="majorEastAsia" w:cstheme="majorBidi"/>
          <w:iCs/>
        </w:rPr>
        <w:t>.</w:t>
      </w:r>
    </w:p>
    <w:p w14:paraId="6E7C0020" w14:textId="77777777" w:rsidR="00A829A2" w:rsidRDefault="00A829A2" w:rsidP="00E35BE6">
      <w:pPr>
        <w:ind w:left="1134"/>
        <w:rPr>
          <w:rFonts w:eastAsiaTheme="majorEastAsia" w:cstheme="majorBidi"/>
          <w:iCs/>
        </w:rPr>
      </w:pPr>
    </w:p>
    <w:p w14:paraId="5CCB9C3F" w14:textId="77777777" w:rsidR="00A829A2" w:rsidRDefault="00A829A2" w:rsidP="00E35BE6">
      <w:pPr>
        <w:ind w:left="1134"/>
        <w:rPr>
          <w:rFonts w:eastAsiaTheme="majorEastAsia" w:cstheme="majorBidi"/>
          <w:iCs/>
        </w:rPr>
      </w:pPr>
    </w:p>
    <w:p w14:paraId="54BF9E4D" w14:textId="77777777" w:rsidR="00A829A2" w:rsidRDefault="00A829A2" w:rsidP="00E35BE6">
      <w:pPr>
        <w:ind w:left="1134"/>
        <w:rPr>
          <w:rFonts w:eastAsiaTheme="majorEastAsia" w:cstheme="majorBidi"/>
          <w:iCs/>
        </w:rPr>
      </w:pPr>
    </w:p>
    <w:p w14:paraId="5628C697" w14:textId="77777777" w:rsidR="00A829A2" w:rsidRDefault="00A829A2" w:rsidP="00E35BE6">
      <w:pPr>
        <w:ind w:left="1134"/>
        <w:rPr>
          <w:rFonts w:eastAsiaTheme="majorEastAsia" w:cstheme="majorBidi"/>
          <w:iCs/>
        </w:rPr>
      </w:pPr>
    </w:p>
    <w:p w14:paraId="3535C7E4" w14:textId="77777777" w:rsidR="00A829A2" w:rsidRDefault="00A829A2" w:rsidP="00E35BE6">
      <w:pPr>
        <w:ind w:left="1134"/>
        <w:rPr>
          <w:rFonts w:eastAsiaTheme="majorEastAsia" w:cstheme="majorBidi"/>
          <w:iCs/>
        </w:rPr>
      </w:pPr>
    </w:p>
    <w:p w14:paraId="622BE7E5" w14:textId="77777777" w:rsidR="006D2797" w:rsidRDefault="0077399D" w:rsidP="006D2797">
      <w:pPr>
        <w:ind w:left="1134" w:hanging="567"/>
        <w:rPr>
          <w:rFonts w:eastAsiaTheme="majorEastAsia" w:cstheme="majorBidi"/>
          <w:iCs/>
        </w:rPr>
      </w:pPr>
      <w:r>
        <w:rPr>
          <w:rFonts w:eastAsiaTheme="majorEastAsia" w:cstheme="majorBidi"/>
          <w:iCs/>
        </w:rPr>
        <w:t>5.</w:t>
      </w:r>
      <w:r>
        <w:rPr>
          <w:rFonts w:eastAsiaTheme="majorEastAsia" w:cstheme="majorBidi"/>
          <w:iCs/>
        </w:rPr>
        <w:tab/>
      </w:r>
      <w:r w:rsidR="006D2797" w:rsidRPr="006D2797">
        <w:rPr>
          <w:rFonts w:eastAsiaTheme="majorEastAsia" w:cstheme="majorBidi"/>
          <w:iCs/>
        </w:rPr>
        <w:t>Approximate Timing of Grants:</w:t>
      </w:r>
    </w:p>
    <w:tbl>
      <w:tblPr>
        <w:tblW w:w="8472" w:type="dxa"/>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536"/>
      </w:tblGrid>
      <w:tr w:rsidR="006D2797" w:rsidRPr="00FB3051" w14:paraId="568A2FBE" w14:textId="77777777" w:rsidTr="00E51945">
        <w:tc>
          <w:tcPr>
            <w:tcW w:w="3936" w:type="dxa"/>
            <w:tcBorders>
              <w:bottom w:val="single" w:sz="4" w:space="0" w:color="auto"/>
            </w:tcBorders>
          </w:tcPr>
          <w:p w14:paraId="496C289D" w14:textId="77777777" w:rsidR="006D2797" w:rsidRPr="006D2797" w:rsidRDefault="006D2797" w:rsidP="006D2797">
            <w:pPr>
              <w:spacing w:before="120"/>
              <w:ind w:left="425" w:hanging="425"/>
              <w:rPr>
                <w:rFonts w:cs="Arial"/>
                <w:b/>
                <w:szCs w:val="26"/>
              </w:rPr>
            </w:pPr>
            <w:r w:rsidRPr="006D2797">
              <w:rPr>
                <w:rFonts w:cs="Arial"/>
                <w:b/>
                <w:szCs w:val="26"/>
              </w:rPr>
              <w:t>Round 1</w:t>
            </w:r>
          </w:p>
          <w:p w14:paraId="555EE281" w14:textId="23024D58"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Open Round -</w:t>
            </w:r>
            <w:r w:rsidR="00991FB2">
              <w:rPr>
                <w:rFonts w:cs="Arial"/>
                <w:szCs w:val="26"/>
              </w:rPr>
              <w:t xml:space="preserve"> </w:t>
            </w:r>
            <w:r w:rsidRPr="006D2797">
              <w:rPr>
                <w:rFonts w:cs="Arial"/>
                <w:szCs w:val="26"/>
              </w:rPr>
              <w:t xml:space="preserve"> August</w:t>
            </w:r>
          </w:p>
          <w:p w14:paraId="3424560A" w14:textId="5C8007DC"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 xml:space="preserve">Close Round - September </w:t>
            </w:r>
          </w:p>
          <w:p w14:paraId="71059C0A" w14:textId="36BA75DD"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 xml:space="preserve">Assessment - </w:t>
            </w:r>
            <w:r w:rsidR="00E51945">
              <w:rPr>
                <w:rFonts w:cs="Arial"/>
                <w:szCs w:val="26"/>
              </w:rPr>
              <w:t xml:space="preserve"> </w:t>
            </w:r>
            <w:r w:rsidRPr="006D2797">
              <w:rPr>
                <w:rFonts w:cs="Arial"/>
                <w:szCs w:val="26"/>
              </w:rPr>
              <w:t xml:space="preserve">September </w:t>
            </w:r>
          </w:p>
          <w:p w14:paraId="7F4026BD" w14:textId="77777777" w:rsidR="006D2797" w:rsidRPr="006D2797" w:rsidRDefault="006D2797" w:rsidP="00262D10">
            <w:pPr>
              <w:numPr>
                <w:ilvl w:val="0"/>
                <w:numId w:val="5"/>
              </w:numPr>
              <w:overflowPunct w:val="0"/>
              <w:autoSpaceDE w:val="0"/>
              <w:autoSpaceDN w:val="0"/>
              <w:adjustRightInd w:val="0"/>
              <w:spacing w:after="0"/>
              <w:ind w:left="397" w:hanging="397"/>
              <w:textAlignment w:val="baseline"/>
              <w:rPr>
                <w:rFonts w:cs="Arial"/>
                <w:szCs w:val="26"/>
              </w:rPr>
            </w:pPr>
            <w:r w:rsidRPr="006D2797">
              <w:rPr>
                <w:rFonts w:cs="Arial"/>
                <w:szCs w:val="26"/>
              </w:rPr>
              <w:t>Report to Committee/Council - October</w:t>
            </w:r>
          </w:p>
          <w:p w14:paraId="13278BC4" w14:textId="77777777" w:rsidR="005D64FA" w:rsidRPr="006D2797" w:rsidRDefault="005D64FA" w:rsidP="00E51945">
            <w:pPr>
              <w:spacing w:after="0"/>
              <w:ind w:left="539" w:hanging="539"/>
              <w:rPr>
                <w:rFonts w:cs="Arial"/>
                <w:szCs w:val="26"/>
              </w:rPr>
            </w:pPr>
          </w:p>
          <w:p w14:paraId="2C1342C1" w14:textId="3655E388" w:rsidR="006D2797" w:rsidRPr="006D2797" w:rsidRDefault="006D2797" w:rsidP="00E51945">
            <w:pPr>
              <w:spacing w:after="180"/>
              <w:ind w:left="0"/>
              <w:rPr>
                <w:rFonts w:cs="Arial"/>
                <w:szCs w:val="26"/>
              </w:rPr>
            </w:pPr>
            <w:r w:rsidRPr="006D2797">
              <w:rPr>
                <w:rFonts w:cs="Arial"/>
                <w:szCs w:val="26"/>
              </w:rPr>
              <w:t>Major Cultural Organisations</w:t>
            </w:r>
            <w:r w:rsidR="00D36A8C">
              <w:rPr>
                <w:rFonts w:cs="Arial"/>
                <w:szCs w:val="26"/>
              </w:rPr>
              <w:t>, Community Christmas Carols</w:t>
            </w:r>
            <w:r w:rsidRPr="006D2797">
              <w:rPr>
                <w:rFonts w:cs="Arial"/>
                <w:szCs w:val="26"/>
              </w:rPr>
              <w:t xml:space="preserve"> and Event Partnership</w:t>
            </w:r>
            <w:r w:rsidR="00D36A8C">
              <w:rPr>
                <w:rFonts w:cs="Arial"/>
                <w:szCs w:val="26"/>
              </w:rPr>
              <w:t xml:space="preserve"> </w:t>
            </w:r>
            <w:r w:rsidR="00D36A8C" w:rsidRPr="006D2797">
              <w:rPr>
                <w:rFonts w:cs="Arial"/>
                <w:szCs w:val="26"/>
              </w:rPr>
              <w:t>Grants</w:t>
            </w:r>
            <w:r w:rsidRPr="006D2797">
              <w:rPr>
                <w:rFonts w:cs="Arial"/>
                <w:szCs w:val="26"/>
              </w:rPr>
              <w:t>:</w:t>
            </w:r>
          </w:p>
          <w:p w14:paraId="79F4B768" w14:textId="77777777"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Open Round - June</w:t>
            </w:r>
          </w:p>
          <w:p w14:paraId="3C2D140E" w14:textId="77777777"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Close Round - July</w:t>
            </w:r>
          </w:p>
          <w:p w14:paraId="28673FEB" w14:textId="77777777" w:rsidR="006D2797" w:rsidRPr="006D2797" w:rsidRDefault="006D2797" w:rsidP="006D2797">
            <w:pPr>
              <w:numPr>
                <w:ilvl w:val="0"/>
                <w:numId w:val="5"/>
              </w:numPr>
              <w:tabs>
                <w:tab w:val="num" w:pos="397"/>
              </w:tabs>
              <w:overflowPunct w:val="0"/>
              <w:autoSpaceDE w:val="0"/>
              <w:autoSpaceDN w:val="0"/>
              <w:adjustRightInd w:val="0"/>
              <w:spacing w:after="0"/>
              <w:ind w:left="538" w:hanging="538"/>
              <w:textAlignment w:val="baseline"/>
              <w:rPr>
                <w:rFonts w:cs="Arial"/>
                <w:szCs w:val="26"/>
              </w:rPr>
            </w:pPr>
            <w:r w:rsidRPr="006D2797">
              <w:rPr>
                <w:rFonts w:cs="Arial"/>
                <w:szCs w:val="26"/>
              </w:rPr>
              <w:t>Assessment - July</w:t>
            </w:r>
          </w:p>
          <w:p w14:paraId="0F4048D7" w14:textId="4FC6ADB8" w:rsidR="006D2797" w:rsidRPr="00E51945" w:rsidRDefault="006D2797" w:rsidP="00E51945">
            <w:pPr>
              <w:numPr>
                <w:ilvl w:val="0"/>
                <w:numId w:val="5"/>
              </w:numPr>
              <w:tabs>
                <w:tab w:val="num" w:pos="397"/>
              </w:tabs>
              <w:overflowPunct w:val="0"/>
              <w:autoSpaceDE w:val="0"/>
              <w:autoSpaceDN w:val="0"/>
              <w:adjustRightInd w:val="0"/>
              <w:spacing w:after="120"/>
              <w:ind w:left="397" w:hanging="397"/>
              <w:textAlignment w:val="baseline"/>
              <w:rPr>
                <w:rFonts w:cs="Arial"/>
                <w:szCs w:val="26"/>
              </w:rPr>
            </w:pPr>
            <w:r w:rsidRPr="006D2797">
              <w:rPr>
                <w:rFonts w:cs="Arial"/>
                <w:szCs w:val="26"/>
              </w:rPr>
              <w:t>Report to Committee/Council – August/September</w:t>
            </w:r>
          </w:p>
        </w:tc>
        <w:tc>
          <w:tcPr>
            <w:tcW w:w="4536" w:type="dxa"/>
            <w:tcBorders>
              <w:bottom w:val="single" w:sz="4" w:space="0" w:color="auto"/>
            </w:tcBorders>
          </w:tcPr>
          <w:p w14:paraId="30370E90" w14:textId="77777777" w:rsidR="006D2797" w:rsidRPr="006D2797" w:rsidRDefault="006D2797" w:rsidP="006D2797">
            <w:pPr>
              <w:spacing w:before="120"/>
              <w:ind w:left="425" w:hanging="425"/>
              <w:rPr>
                <w:rFonts w:cs="Arial"/>
                <w:b/>
                <w:szCs w:val="26"/>
              </w:rPr>
            </w:pPr>
            <w:r w:rsidRPr="006D2797">
              <w:rPr>
                <w:rFonts w:cs="Arial"/>
                <w:b/>
                <w:szCs w:val="26"/>
              </w:rPr>
              <w:t>Round 2</w:t>
            </w:r>
          </w:p>
          <w:p w14:paraId="4B367577" w14:textId="77777777" w:rsidR="006D2797" w:rsidRPr="006D2797" w:rsidRDefault="006D2797" w:rsidP="006D2797">
            <w:pPr>
              <w:numPr>
                <w:ilvl w:val="0"/>
                <w:numId w:val="6"/>
              </w:numPr>
              <w:overflowPunct w:val="0"/>
              <w:autoSpaceDE w:val="0"/>
              <w:autoSpaceDN w:val="0"/>
              <w:adjustRightInd w:val="0"/>
              <w:spacing w:after="0"/>
              <w:ind w:left="397" w:hanging="397"/>
              <w:textAlignment w:val="baseline"/>
              <w:rPr>
                <w:rFonts w:cs="Arial"/>
                <w:szCs w:val="26"/>
              </w:rPr>
            </w:pPr>
            <w:r w:rsidRPr="006D2797">
              <w:rPr>
                <w:rFonts w:cs="Arial"/>
                <w:szCs w:val="26"/>
              </w:rPr>
              <w:t>Open Round -  February</w:t>
            </w:r>
          </w:p>
          <w:p w14:paraId="03453731" w14:textId="4EEF4761" w:rsidR="006D2797" w:rsidRPr="006D2797" w:rsidRDefault="006D2797" w:rsidP="006D2797">
            <w:pPr>
              <w:numPr>
                <w:ilvl w:val="0"/>
                <w:numId w:val="6"/>
              </w:numPr>
              <w:overflowPunct w:val="0"/>
              <w:autoSpaceDE w:val="0"/>
              <w:autoSpaceDN w:val="0"/>
              <w:adjustRightInd w:val="0"/>
              <w:spacing w:after="0"/>
              <w:ind w:left="397" w:hanging="397"/>
              <w:textAlignment w:val="baseline"/>
              <w:rPr>
                <w:rFonts w:cs="Arial"/>
                <w:szCs w:val="26"/>
              </w:rPr>
            </w:pPr>
            <w:r w:rsidRPr="006D2797">
              <w:rPr>
                <w:rFonts w:cs="Arial"/>
                <w:szCs w:val="26"/>
              </w:rPr>
              <w:t>Close Round -</w:t>
            </w:r>
            <w:r w:rsidR="00E51945">
              <w:rPr>
                <w:rFonts w:cs="Arial"/>
                <w:szCs w:val="26"/>
              </w:rPr>
              <w:t xml:space="preserve"> </w:t>
            </w:r>
            <w:r w:rsidRPr="006D2797">
              <w:rPr>
                <w:rFonts w:cs="Arial"/>
                <w:szCs w:val="26"/>
              </w:rPr>
              <w:t>March</w:t>
            </w:r>
          </w:p>
          <w:p w14:paraId="116307EE" w14:textId="4C92356B" w:rsidR="006D2797" w:rsidRPr="006D2797" w:rsidRDefault="006D2797" w:rsidP="006D2797">
            <w:pPr>
              <w:numPr>
                <w:ilvl w:val="0"/>
                <w:numId w:val="6"/>
              </w:numPr>
              <w:overflowPunct w:val="0"/>
              <w:autoSpaceDE w:val="0"/>
              <w:autoSpaceDN w:val="0"/>
              <w:adjustRightInd w:val="0"/>
              <w:spacing w:after="0"/>
              <w:ind w:left="397" w:hanging="397"/>
              <w:textAlignment w:val="baseline"/>
              <w:rPr>
                <w:rFonts w:cs="Arial"/>
                <w:szCs w:val="26"/>
              </w:rPr>
            </w:pPr>
            <w:r w:rsidRPr="006D2797">
              <w:rPr>
                <w:rFonts w:cs="Arial"/>
                <w:szCs w:val="26"/>
              </w:rPr>
              <w:t xml:space="preserve">Assessment - </w:t>
            </w:r>
            <w:r w:rsidR="00E51945">
              <w:rPr>
                <w:rFonts w:cs="Arial"/>
                <w:szCs w:val="26"/>
              </w:rPr>
              <w:t xml:space="preserve"> </w:t>
            </w:r>
            <w:r w:rsidRPr="006D2797">
              <w:rPr>
                <w:rFonts w:cs="Arial"/>
                <w:szCs w:val="26"/>
              </w:rPr>
              <w:t>March</w:t>
            </w:r>
          </w:p>
          <w:p w14:paraId="1F33E0A0" w14:textId="77777777" w:rsidR="006D2797" w:rsidRPr="006D2797" w:rsidRDefault="006D2797" w:rsidP="006D2797">
            <w:pPr>
              <w:numPr>
                <w:ilvl w:val="0"/>
                <w:numId w:val="6"/>
              </w:numPr>
              <w:overflowPunct w:val="0"/>
              <w:autoSpaceDE w:val="0"/>
              <w:autoSpaceDN w:val="0"/>
              <w:adjustRightInd w:val="0"/>
              <w:spacing w:after="0"/>
              <w:ind w:left="397" w:hanging="397"/>
              <w:textAlignment w:val="baseline"/>
              <w:rPr>
                <w:rFonts w:cs="Arial"/>
                <w:szCs w:val="26"/>
              </w:rPr>
            </w:pPr>
            <w:r w:rsidRPr="006D2797">
              <w:rPr>
                <w:rFonts w:cs="Arial"/>
                <w:szCs w:val="26"/>
              </w:rPr>
              <w:t>Report to Committee/Council - April</w:t>
            </w:r>
          </w:p>
          <w:p w14:paraId="243D1638" w14:textId="77777777" w:rsidR="006D2797" w:rsidRPr="006D2797" w:rsidRDefault="006D2797" w:rsidP="006D2797">
            <w:pPr>
              <w:ind w:left="538" w:hanging="425"/>
              <w:rPr>
                <w:rFonts w:cs="Arial"/>
                <w:szCs w:val="26"/>
              </w:rPr>
            </w:pPr>
          </w:p>
        </w:tc>
      </w:tr>
      <w:tr w:rsidR="006716B5" w:rsidRPr="00FB3051" w14:paraId="647BFBE9" w14:textId="77777777" w:rsidTr="00E51945">
        <w:tc>
          <w:tcPr>
            <w:tcW w:w="3936" w:type="dxa"/>
            <w:tcBorders>
              <w:top w:val="single" w:sz="4" w:space="0" w:color="auto"/>
              <w:bottom w:val="nil"/>
            </w:tcBorders>
          </w:tcPr>
          <w:p w14:paraId="48ED430A" w14:textId="77777777" w:rsidR="006716B5" w:rsidRDefault="006716B5" w:rsidP="006D2797">
            <w:pPr>
              <w:spacing w:before="120"/>
              <w:ind w:left="425" w:hanging="425"/>
              <w:rPr>
                <w:rFonts w:cs="Arial"/>
                <w:szCs w:val="26"/>
              </w:rPr>
            </w:pPr>
            <w:r w:rsidRPr="00E35BE6">
              <w:rPr>
                <w:rFonts w:cs="Arial"/>
                <w:szCs w:val="26"/>
              </w:rPr>
              <w:t>City Partnership</w:t>
            </w:r>
          </w:p>
          <w:p w14:paraId="5399C0B9" w14:textId="120F64A6" w:rsidR="006716B5" w:rsidRPr="00E35BE6" w:rsidRDefault="00DA5A4B" w:rsidP="00E35BE6">
            <w:pPr>
              <w:pStyle w:val="ListParagraph"/>
              <w:numPr>
                <w:ilvl w:val="0"/>
                <w:numId w:val="8"/>
              </w:numPr>
              <w:spacing w:before="120"/>
              <w:ind w:left="426" w:hanging="426"/>
              <w:rPr>
                <w:rFonts w:cs="Arial"/>
                <w:szCs w:val="26"/>
              </w:rPr>
            </w:pPr>
            <w:r>
              <w:rPr>
                <w:rFonts w:cs="Arial"/>
                <w:szCs w:val="26"/>
              </w:rPr>
              <w:t>Five (</w:t>
            </w:r>
            <w:r w:rsidR="005D64FA" w:rsidRPr="004D4401">
              <w:rPr>
                <w:rFonts w:cs="Arial"/>
                <w:szCs w:val="26"/>
              </w:rPr>
              <w:t>5</w:t>
            </w:r>
            <w:r>
              <w:rPr>
                <w:rFonts w:cs="Arial"/>
                <w:szCs w:val="26"/>
              </w:rPr>
              <w:t>)</w:t>
            </w:r>
            <w:r w:rsidR="005D64FA" w:rsidRPr="004D4401">
              <w:rPr>
                <w:rFonts w:cs="Arial"/>
                <w:szCs w:val="26"/>
              </w:rPr>
              <w:t xml:space="preserve"> year agreement, dependent on annual acquittal from participating organisations.</w:t>
            </w:r>
          </w:p>
        </w:tc>
        <w:tc>
          <w:tcPr>
            <w:tcW w:w="4536" w:type="dxa"/>
            <w:tcBorders>
              <w:top w:val="single" w:sz="4" w:space="0" w:color="auto"/>
              <w:bottom w:val="nil"/>
            </w:tcBorders>
          </w:tcPr>
          <w:p w14:paraId="4C834F09" w14:textId="77777777" w:rsidR="006716B5" w:rsidRPr="006D2797" w:rsidRDefault="006716B5" w:rsidP="006D2797">
            <w:pPr>
              <w:spacing w:before="120"/>
              <w:ind w:left="425" w:hanging="425"/>
              <w:rPr>
                <w:rFonts w:cs="Arial"/>
                <w:b/>
                <w:szCs w:val="26"/>
              </w:rPr>
            </w:pPr>
          </w:p>
        </w:tc>
      </w:tr>
      <w:tr w:rsidR="002560A3" w:rsidRPr="00FB3051" w14:paraId="110C50C9" w14:textId="77777777" w:rsidTr="00FB030E">
        <w:tc>
          <w:tcPr>
            <w:tcW w:w="3936" w:type="dxa"/>
            <w:tcBorders>
              <w:top w:val="nil"/>
              <w:bottom w:val="nil"/>
            </w:tcBorders>
          </w:tcPr>
          <w:p w14:paraId="5728A8D4" w14:textId="69C4052A" w:rsidR="002560A3" w:rsidRDefault="002560A3" w:rsidP="002560A3">
            <w:pPr>
              <w:spacing w:before="120"/>
              <w:ind w:left="1" w:hanging="1"/>
              <w:rPr>
                <w:rFonts w:cs="Arial"/>
                <w:szCs w:val="26"/>
              </w:rPr>
            </w:pPr>
            <w:r w:rsidRPr="006D2797">
              <w:rPr>
                <w:rFonts w:cs="Arial"/>
                <w:szCs w:val="26"/>
              </w:rPr>
              <w:t xml:space="preserve">Community </w:t>
            </w:r>
            <w:r>
              <w:rPr>
                <w:rFonts w:cs="Arial"/>
                <w:szCs w:val="26"/>
              </w:rPr>
              <w:t>Christmas Activation Quick Response</w:t>
            </w:r>
          </w:p>
          <w:p w14:paraId="26CAC689" w14:textId="3744EA5A" w:rsidR="002560A3" w:rsidRDefault="002560A3" w:rsidP="00446018">
            <w:pPr>
              <w:pStyle w:val="ListParagraph"/>
              <w:numPr>
                <w:ilvl w:val="0"/>
                <w:numId w:val="8"/>
              </w:numPr>
              <w:spacing w:before="120"/>
              <w:ind w:left="426"/>
              <w:rPr>
                <w:rFonts w:cs="Arial"/>
                <w:szCs w:val="26"/>
              </w:rPr>
            </w:pPr>
            <w:r>
              <w:rPr>
                <w:rFonts w:cs="Arial"/>
                <w:szCs w:val="26"/>
              </w:rPr>
              <w:t xml:space="preserve">Open Round </w:t>
            </w:r>
            <w:r w:rsidR="00E51945">
              <w:rPr>
                <w:rFonts w:cs="Arial"/>
                <w:szCs w:val="26"/>
              </w:rPr>
              <w:t>-</w:t>
            </w:r>
            <w:r>
              <w:rPr>
                <w:rFonts w:cs="Arial"/>
                <w:szCs w:val="26"/>
              </w:rPr>
              <w:t xml:space="preserve"> 1 October</w:t>
            </w:r>
          </w:p>
          <w:p w14:paraId="045C7368" w14:textId="315E9731" w:rsidR="002560A3" w:rsidRDefault="002560A3" w:rsidP="00446018">
            <w:pPr>
              <w:pStyle w:val="ListParagraph"/>
              <w:numPr>
                <w:ilvl w:val="0"/>
                <w:numId w:val="8"/>
              </w:numPr>
              <w:spacing w:before="120"/>
              <w:ind w:left="426"/>
              <w:rPr>
                <w:rFonts w:cs="Arial"/>
                <w:szCs w:val="26"/>
              </w:rPr>
            </w:pPr>
            <w:r>
              <w:rPr>
                <w:rFonts w:cs="Arial"/>
                <w:szCs w:val="26"/>
              </w:rPr>
              <w:t xml:space="preserve">Close Round </w:t>
            </w:r>
            <w:r w:rsidR="00E51945">
              <w:rPr>
                <w:rFonts w:cs="Arial"/>
                <w:szCs w:val="26"/>
              </w:rPr>
              <w:t>-</w:t>
            </w:r>
            <w:r>
              <w:rPr>
                <w:rFonts w:cs="Arial"/>
                <w:szCs w:val="26"/>
              </w:rPr>
              <w:t xml:space="preserve"> 31 October</w:t>
            </w:r>
          </w:p>
          <w:p w14:paraId="5DAEE640" w14:textId="031B1F47" w:rsidR="002560A3" w:rsidRPr="002560A3" w:rsidRDefault="002560A3" w:rsidP="00446018">
            <w:pPr>
              <w:pStyle w:val="ListParagraph"/>
              <w:numPr>
                <w:ilvl w:val="0"/>
                <w:numId w:val="8"/>
              </w:numPr>
              <w:spacing w:before="120"/>
              <w:ind w:left="426"/>
              <w:rPr>
                <w:rFonts w:cs="Arial"/>
                <w:szCs w:val="26"/>
              </w:rPr>
            </w:pPr>
            <w:r>
              <w:rPr>
                <w:rFonts w:cs="Arial"/>
                <w:szCs w:val="26"/>
              </w:rPr>
              <w:t xml:space="preserve">Assessment - </w:t>
            </w:r>
            <w:r w:rsidR="00F32B9B">
              <w:rPr>
                <w:rFonts w:cs="Arial"/>
                <w:szCs w:val="26"/>
              </w:rPr>
              <w:t xml:space="preserve"> </w:t>
            </w:r>
            <w:r>
              <w:rPr>
                <w:rFonts w:cs="Arial"/>
                <w:szCs w:val="26"/>
              </w:rPr>
              <w:t>November</w:t>
            </w:r>
          </w:p>
        </w:tc>
        <w:tc>
          <w:tcPr>
            <w:tcW w:w="4536" w:type="dxa"/>
            <w:tcBorders>
              <w:top w:val="nil"/>
              <w:bottom w:val="nil"/>
            </w:tcBorders>
          </w:tcPr>
          <w:p w14:paraId="19C40BFB" w14:textId="77777777" w:rsidR="002560A3" w:rsidRPr="006D2797" w:rsidRDefault="002560A3" w:rsidP="006D2797">
            <w:pPr>
              <w:spacing w:before="120"/>
              <w:ind w:left="425" w:hanging="425"/>
              <w:rPr>
                <w:rFonts w:cs="Arial"/>
                <w:b/>
                <w:szCs w:val="26"/>
              </w:rPr>
            </w:pPr>
          </w:p>
        </w:tc>
      </w:tr>
      <w:tr w:rsidR="00FB030E" w:rsidRPr="00FB3051" w14:paraId="47DBD592" w14:textId="77777777" w:rsidTr="00E35BE6">
        <w:tc>
          <w:tcPr>
            <w:tcW w:w="3936" w:type="dxa"/>
            <w:tcBorders>
              <w:top w:val="nil"/>
            </w:tcBorders>
          </w:tcPr>
          <w:p w14:paraId="579D26AB" w14:textId="281681B9" w:rsidR="00FB030E" w:rsidRDefault="00FB030E" w:rsidP="002560A3">
            <w:pPr>
              <w:spacing w:before="120"/>
              <w:ind w:left="1" w:hanging="1"/>
              <w:rPr>
                <w:rFonts w:cs="Arial"/>
                <w:szCs w:val="26"/>
              </w:rPr>
            </w:pPr>
            <w:r>
              <w:rPr>
                <w:rFonts w:cs="Arial"/>
                <w:szCs w:val="26"/>
              </w:rPr>
              <w:t>Local Trader Marketing</w:t>
            </w:r>
          </w:p>
          <w:p w14:paraId="78832450" w14:textId="77777777" w:rsidR="00FB030E" w:rsidRDefault="00FB030E" w:rsidP="00FB030E">
            <w:pPr>
              <w:pStyle w:val="ListParagraph"/>
              <w:numPr>
                <w:ilvl w:val="0"/>
                <w:numId w:val="8"/>
              </w:numPr>
              <w:spacing w:before="120"/>
              <w:ind w:left="426"/>
              <w:rPr>
                <w:rFonts w:cs="Arial"/>
                <w:szCs w:val="26"/>
              </w:rPr>
            </w:pPr>
            <w:r>
              <w:rPr>
                <w:rFonts w:cs="Arial"/>
                <w:szCs w:val="26"/>
              </w:rPr>
              <w:t>Open Round - February</w:t>
            </w:r>
          </w:p>
          <w:p w14:paraId="71BAB81C" w14:textId="77777777" w:rsidR="00FB030E" w:rsidRDefault="00FB030E" w:rsidP="00FB030E">
            <w:pPr>
              <w:pStyle w:val="ListParagraph"/>
              <w:numPr>
                <w:ilvl w:val="0"/>
                <w:numId w:val="8"/>
              </w:numPr>
              <w:spacing w:before="120"/>
              <w:ind w:left="426"/>
              <w:rPr>
                <w:rFonts w:cs="Arial"/>
                <w:szCs w:val="26"/>
              </w:rPr>
            </w:pPr>
            <w:r>
              <w:rPr>
                <w:rFonts w:cs="Arial"/>
                <w:szCs w:val="26"/>
              </w:rPr>
              <w:t>Close Round - March</w:t>
            </w:r>
          </w:p>
          <w:p w14:paraId="6A390234" w14:textId="524D27A3" w:rsidR="00FB030E" w:rsidRDefault="00FB030E" w:rsidP="00FB030E">
            <w:pPr>
              <w:pStyle w:val="ListParagraph"/>
              <w:numPr>
                <w:ilvl w:val="0"/>
                <w:numId w:val="8"/>
              </w:numPr>
              <w:spacing w:before="120"/>
              <w:ind w:left="426"/>
              <w:rPr>
                <w:rFonts w:cs="Arial"/>
                <w:szCs w:val="26"/>
              </w:rPr>
            </w:pPr>
            <w:r>
              <w:rPr>
                <w:rFonts w:cs="Arial"/>
                <w:szCs w:val="26"/>
              </w:rPr>
              <w:t>Assessment -  April</w:t>
            </w:r>
          </w:p>
          <w:p w14:paraId="2808924E" w14:textId="027B6137" w:rsidR="00FB030E" w:rsidRPr="00FB030E" w:rsidRDefault="00FB030E" w:rsidP="00FB030E">
            <w:pPr>
              <w:pStyle w:val="ListParagraph"/>
              <w:numPr>
                <w:ilvl w:val="0"/>
                <w:numId w:val="8"/>
              </w:numPr>
              <w:spacing w:before="120"/>
              <w:ind w:left="426"/>
              <w:rPr>
                <w:rFonts w:cs="Arial"/>
                <w:szCs w:val="26"/>
              </w:rPr>
            </w:pPr>
            <w:r>
              <w:rPr>
                <w:rFonts w:cs="Arial"/>
                <w:szCs w:val="26"/>
              </w:rPr>
              <w:t>Report - May</w:t>
            </w:r>
          </w:p>
        </w:tc>
        <w:tc>
          <w:tcPr>
            <w:tcW w:w="4536" w:type="dxa"/>
            <w:tcBorders>
              <w:top w:val="nil"/>
            </w:tcBorders>
          </w:tcPr>
          <w:p w14:paraId="6BE19346" w14:textId="77777777" w:rsidR="00FB030E" w:rsidRPr="006D2797" w:rsidRDefault="00FB030E" w:rsidP="006D2797">
            <w:pPr>
              <w:spacing w:before="120"/>
              <w:ind w:left="425" w:hanging="425"/>
              <w:rPr>
                <w:rFonts w:cs="Arial"/>
                <w:b/>
                <w:szCs w:val="26"/>
              </w:rPr>
            </w:pPr>
          </w:p>
        </w:tc>
      </w:tr>
    </w:tbl>
    <w:p w14:paraId="0E567E38" w14:textId="136B6A5C" w:rsidR="006D2797" w:rsidRDefault="006D2797" w:rsidP="00E35BE6">
      <w:pPr>
        <w:ind w:left="0"/>
      </w:pPr>
    </w:p>
    <w:p w14:paraId="6B423417" w14:textId="77777777" w:rsidR="00A829A2" w:rsidRDefault="00A829A2" w:rsidP="00E35BE6">
      <w:pPr>
        <w:ind w:left="0"/>
      </w:pPr>
    </w:p>
    <w:p w14:paraId="65D55462" w14:textId="77777777" w:rsidR="00A829A2" w:rsidRPr="00FB3051" w:rsidRDefault="00A829A2" w:rsidP="00E35BE6">
      <w:pPr>
        <w:ind w:left="0"/>
      </w:pPr>
    </w:p>
    <w:p w14:paraId="2734D6EE" w14:textId="009C4A61" w:rsidR="006D2797" w:rsidRDefault="0077399D" w:rsidP="006D2797">
      <w:pPr>
        <w:pStyle w:val="Heading7"/>
        <w:numPr>
          <w:ilvl w:val="0"/>
          <w:numId w:val="0"/>
        </w:numPr>
        <w:ind w:left="1134" w:hanging="567"/>
      </w:pPr>
      <w:r>
        <w:t>6</w:t>
      </w:r>
      <w:r w:rsidR="006D2797" w:rsidRPr="006D2797">
        <w:t>.</w:t>
      </w:r>
      <w:r w:rsidR="006D2797" w:rsidRPr="006D2797">
        <w:tab/>
        <w:t xml:space="preserve">All grant </w:t>
      </w:r>
      <w:r w:rsidR="00A0730B">
        <w:t>streams</w:t>
      </w:r>
      <w:r w:rsidR="006716B5">
        <w:t>, apart from City Partnership,</w:t>
      </w:r>
      <w:r w:rsidR="00A0730B" w:rsidRPr="006D2797">
        <w:t xml:space="preserve"> </w:t>
      </w:r>
      <w:r w:rsidR="006D2797" w:rsidRPr="006D2797">
        <w:t xml:space="preserve">have </w:t>
      </w:r>
      <w:r w:rsidR="00A0730B">
        <w:t>q</w:t>
      </w:r>
      <w:r w:rsidR="00A0730B" w:rsidRPr="006D2797">
        <w:t xml:space="preserve">uick </w:t>
      </w:r>
      <w:r w:rsidR="00A0730B">
        <w:t>r</w:t>
      </w:r>
      <w:r w:rsidR="00A0730B" w:rsidRPr="006D2797">
        <w:t xml:space="preserve">esponse </w:t>
      </w:r>
      <w:r w:rsidR="00A0730B">
        <w:t>g</w:t>
      </w:r>
      <w:r w:rsidR="00A0730B" w:rsidRPr="006D2797">
        <w:t>rants</w:t>
      </w:r>
      <w:r w:rsidR="00A0730B">
        <w:t>,</w:t>
      </w:r>
      <w:r w:rsidR="00A0730B" w:rsidRPr="006D2797">
        <w:t xml:space="preserve"> </w:t>
      </w:r>
      <w:r w:rsidR="006D2797" w:rsidRPr="006D2797">
        <w:t xml:space="preserve">which </w:t>
      </w:r>
      <w:r w:rsidR="00A0730B">
        <w:t>are</w:t>
      </w:r>
      <w:r w:rsidR="006D2797" w:rsidRPr="006D2797">
        <w:t xml:space="preserve"> available </w:t>
      </w:r>
      <w:r w:rsidR="00A0730B">
        <w:t xml:space="preserve">throughout the financial year </w:t>
      </w:r>
      <w:r w:rsidR="006D2797" w:rsidRPr="006D2797">
        <w:t xml:space="preserve">each year until </w:t>
      </w:r>
      <w:r w:rsidR="00A0730B">
        <w:t xml:space="preserve">such time as the annual </w:t>
      </w:r>
      <w:r w:rsidR="006D2797" w:rsidRPr="006D2797">
        <w:t>budget allocation is fully utilised.  The quick response grants for Creative Hobart</w:t>
      </w:r>
      <w:r w:rsidR="00911766">
        <w:t>,</w:t>
      </w:r>
      <w:r w:rsidR="00A0730B">
        <w:t xml:space="preserve"> </w:t>
      </w:r>
      <w:r w:rsidR="006D2797" w:rsidRPr="006D2797">
        <w:t>Event Grants</w:t>
      </w:r>
      <w:r w:rsidR="00911766">
        <w:t xml:space="preserve"> and Marketing Grants</w:t>
      </w:r>
      <w:r w:rsidR="006D2797" w:rsidRPr="006D2797">
        <w:t xml:space="preserve"> will be for a maximum of $1000</w:t>
      </w:r>
      <w:r w:rsidR="00537157">
        <w:t xml:space="preserve"> per grant</w:t>
      </w:r>
      <w:r w:rsidR="00A0730B">
        <w:t xml:space="preserve">, </w:t>
      </w:r>
      <w:r w:rsidR="006D2797" w:rsidRPr="006D2797">
        <w:t xml:space="preserve">with the Community Grants </w:t>
      </w:r>
      <w:r w:rsidR="00A0730B">
        <w:t>providing</w:t>
      </w:r>
      <w:r w:rsidR="00A0730B" w:rsidRPr="006D2797">
        <w:t xml:space="preserve"> </w:t>
      </w:r>
      <w:r w:rsidR="006D2797" w:rsidRPr="006D2797">
        <w:t>a maximum of $500</w:t>
      </w:r>
      <w:r w:rsidR="00A0730B">
        <w:t xml:space="preserve"> per grant</w:t>
      </w:r>
      <w:r w:rsidR="006D2797" w:rsidRPr="006D2797">
        <w:t xml:space="preserve">. </w:t>
      </w:r>
      <w:r w:rsidR="00891102">
        <w:t xml:space="preserve"> </w:t>
      </w:r>
      <w:r w:rsidR="006D2797" w:rsidRPr="006D2797">
        <w:t>Quick Response Event Grants are for in-kind support for the loan of equipment only and are not available for cash.</w:t>
      </w:r>
    </w:p>
    <w:p w14:paraId="31261EDC" w14:textId="214BD0C0" w:rsidR="006D2797" w:rsidRDefault="0077399D" w:rsidP="006D2797">
      <w:pPr>
        <w:pStyle w:val="Heading7"/>
        <w:numPr>
          <w:ilvl w:val="0"/>
          <w:numId w:val="0"/>
        </w:numPr>
        <w:ind w:left="1134" w:hanging="567"/>
      </w:pPr>
      <w:r>
        <w:t>7</w:t>
      </w:r>
      <w:r w:rsidR="006D2797">
        <w:t>.</w:t>
      </w:r>
      <w:r w:rsidR="006D2797">
        <w:tab/>
        <w:t>Major Cultural Organisation Grants and Event Partnerships will only be advertised once a year and applications will open in June.</w:t>
      </w:r>
      <w:r w:rsidR="00D35F15">
        <w:t xml:space="preserve">  Multi-year funding is available in th</w:t>
      </w:r>
      <w:r w:rsidR="00866DC2">
        <w:t>es</w:t>
      </w:r>
      <w:r w:rsidR="00D35F15">
        <w:t>e grant streams.</w:t>
      </w:r>
    </w:p>
    <w:p w14:paraId="1E7AB2D1" w14:textId="77777777" w:rsidR="006D2797" w:rsidRDefault="006D2797" w:rsidP="006D2797">
      <w:pPr>
        <w:pStyle w:val="Heading8"/>
        <w:numPr>
          <w:ilvl w:val="0"/>
          <w:numId w:val="0"/>
        </w:numPr>
        <w:ind w:left="1701" w:hanging="567"/>
      </w:pPr>
      <w:r>
        <w:t>(i)</w:t>
      </w:r>
      <w:r>
        <w:tab/>
        <w:t>Major Cultural Organisations are defined as follows:</w:t>
      </w:r>
    </w:p>
    <w:p w14:paraId="642ACE0C" w14:textId="4F2E6893" w:rsidR="006D2797" w:rsidRDefault="006D2797" w:rsidP="006D2797">
      <w:pPr>
        <w:ind w:left="2268" w:hanging="567"/>
      </w:pPr>
      <w:r>
        <w:t>(a)</w:t>
      </w:r>
      <w:r>
        <w:tab/>
        <w:t>Based in the City of Hobart</w:t>
      </w:r>
    </w:p>
    <w:p w14:paraId="592F7F32" w14:textId="7EB05EB6" w:rsidR="006D2797" w:rsidRDefault="006D2797" w:rsidP="006D2797">
      <w:pPr>
        <w:ind w:left="2268" w:hanging="567"/>
      </w:pPr>
      <w:r>
        <w:t>(b)</w:t>
      </w:r>
      <w:r>
        <w:tab/>
        <w:t>Report an annual income of at least $1.5 million</w:t>
      </w:r>
    </w:p>
    <w:p w14:paraId="0E2F7D08" w14:textId="10A00C45" w:rsidR="006D2797" w:rsidRDefault="006D2797" w:rsidP="006D2797">
      <w:pPr>
        <w:ind w:left="2268" w:hanging="567"/>
      </w:pPr>
      <w:r>
        <w:t>(c)</w:t>
      </w:r>
      <w:r>
        <w:tab/>
        <w:t>Employ professional, permanent staff</w:t>
      </w:r>
    </w:p>
    <w:p w14:paraId="4EDC438B" w14:textId="426E9E01" w:rsidR="006D2797" w:rsidRDefault="006D2797" w:rsidP="006D2797">
      <w:pPr>
        <w:ind w:left="2268" w:hanging="567"/>
      </w:pPr>
      <w:r>
        <w:t>(d)</w:t>
      </w:r>
      <w:r>
        <w:tab/>
        <w:t>Deliver year-round public outcomes in Hobart</w:t>
      </w:r>
    </w:p>
    <w:p w14:paraId="731808B4" w14:textId="28B05499" w:rsidR="006D2797" w:rsidRDefault="006D2797" w:rsidP="006D2797">
      <w:pPr>
        <w:ind w:left="2268" w:hanging="567"/>
      </w:pPr>
      <w:r>
        <w:t>(e)</w:t>
      </w:r>
      <w:r>
        <w:tab/>
        <w:t>Are infrastructure-based organisations with public presentation space and</w:t>
      </w:r>
    </w:p>
    <w:p w14:paraId="7C12E017" w14:textId="77777777" w:rsidR="006D2797" w:rsidRDefault="006D2797" w:rsidP="006D2797">
      <w:pPr>
        <w:ind w:left="2268" w:hanging="567"/>
      </w:pPr>
      <w:r>
        <w:t>(f)</w:t>
      </w:r>
      <w:r>
        <w:tab/>
        <w:t>Operate on a not-for-profit basis.</w:t>
      </w:r>
    </w:p>
    <w:p w14:paraId="7B2BD88C" w14:textId="77777777" w:rsidR="006D2797" w:rsidRDefault="006D2797" w:rsidP="006D2797">
      <w:pPr>
        <w:pStyle w:val="Heading8"/>
        <w:numPr>
          <w:ilvl w:val="0"/>
          <w:numId w:val="0"/>
        </w:numPr>
        <w:tabs>
          <w:tab w:val="clear" w:pos="2268"/>
        </w:tabs>
        <w:ind w:left="1701" w:hanging="567"/>
      </w:pPr>
      <w:r w:rsidRPr="006D2797">
        <w:t>(ii)</w:t>
      </w:r>
      <w:r w:rsidRPr="006D2797">
        <w:tab/>
        <w:t>Major cultural organisations are also eligible to apply for the project grant</w:t>
      </w:r>
      <w:r>
        <w:t xml:space="preserve"> rounds in Community, Culture and Events in the twice yearly grant rounds, in addition to any annual organisational grant.</w:t>
      </w:r>
    </w:p>
    <w:p w14:paraId="5C1F7F59" w14:textId="004CA31D" w:rsidR="006D2797" w:rsidRDefault="0077399D" w:rsidP="00C46B21">
      <w:pPr>
        <w:pStyle w:val="Heading7"/>
        <w:numPr>
          <w:ilvl w:val="0"/>
          <w:numId w:val="0"/>
        </w:numPr>
        <w:ind w:left="1134" w:hanging="567"/>
      </w:pPr>
      <w:r>
        <w:t>8</w:t>
      </w:r>
      <w:r w:rsidR="00C46B21" w:rsidRPr="00C46B21">
        <w:t>.</w:t>
      </w:r>
      <w:r w:rsidR="00C46B21" w:rsidRPr="00C46B21">
        <w:tab/>
        <w:t>Successful applicants for Event Partnerships cannot appl</w:t>
      </w:r>
      <w:r w:rsidR="004238E9">
        <w:t xml:space="preserve">y through the </w:t>
      </w:r>
      <w:r w:rsidR="00403FA8">
        <w:t xml:space="preserve">City’s </w:t>
      </w:r>
      <w:r w:rsidR="004238E9">
        <w:t xml:space="preserve">other </w:t>
      </w:r>
      <w:r w:rsidR="00C46B21" w:rsidRPr="00C46B21">
        <w:t>funding streams for the same project.</w:t>
      </w:r>
    </w:p>
    <w:p w14:paraId="3F65695A" w14:textId="49315822" w:rsidR="00C46B21" w:rsidRDefault="0077399D" w:rsidP="00C46B21">
      <w:pPr>
        <w:pStyle w:val="Heading7"/>
        <w:numPr>
          <w:ilvl w:val="0"/>
          <w:numId w:val="0"/>
        </w:numPr>
        <w:ind w:left="1134" w:hanging="567"/>
      </w:pPr>
      <w:r>
        <w:t>9</w:t>
      </w:r>
      <w:r w:rsidR="00C46B21" w:rsidRPr="00C46B21">
        <w:t>.</w:t>
      </w:r>
      <w:r w:rsidR="00C46B21" w:rsidRPr="00C46B21">
        <w:tab/>
      </w:r>
      <w:r w:rsidR="00696673">
        <w:t>All a</w:t>
      </w:r>
      <w:r w:rsidR="00696673" w:rsidRPr="00C46B21">
        <w:t xml:space="preserve">ssistance </w:t>
      </w:r>
      <w:r w:rsidR="00696673">
        <w:t xml:space="preserve">available to applicants is </w:t>
      </w:r>
      <w:r w:rsidR="00C46B21" w:rsidRPr="00C46B21">
        <w:t>provided by way of grants, and not rate reductions (except pensioner remissions), waiving of fees and charges or rental subsidies.</w:t>
      </w:r>
    </w:p>
    <w:p w14:paraId="30876A61" w14:textId="23FEC7BC" w:rsidR="00C46B21" w:rsidRDefault="0077399D" w:rsidP="00C46B21">
      <w:pPr>
        <w:pStyle w:val="Heading7"/>
        <w:numPr>
          <w:ilvl w:val="0"/>
          <w:numId w:val="0"/>
        </w:numPr>
        <w:ind w:left="1134" w:hanging="567"/>
      </w:pPr>
      <w:r>
        <w:t>1</w:t>
      </w:r>
      <w:r w:rsidR="00D35F15">
        <w:t>0</w:t>
      </w:r>
      <w:r w:rsidR="00C46B21" w:rsidRPr="00C46B21">
        <w:t>.</w:t>
      </w:r>
      <w:r w:rsidR="00C46B21" w:rsidRPr="00C46B21">
        <w:tab/>
        <w:t xml:space="preserve">Where the </w:t>
      </w:r>
      <w:r w:rsidR="00403FA8" w:rsidRPr="00C46B21">
        <w:t>C</w:t>
      </w:r>
      <w:r w:rsidR="00403FA8">
        <w:t>ity</w:t>
      </w:r>
      <w:r w:rsidR="00403FA8" w:rsidRPr="00C46B21">
        <w:t xml:space="preserve"> </w:t>
      </w:r>
      <w:r w:rsidR="00C46B21" w:rsidRPr="00C46B21">
        <w:t xml:space="preserve">is unable to provide the full financial support requested by an applicant under this policy, any lesser financial assistance by the </w:t>
      </w:r>
      <w:r w:rsidR="00403FA8" w:rsidRPr="00C46B21">
        <w:t>C</w:t>
      </w:r>
      <w:r w:rsidR="00403FA8">
        <w:t>ity</w:t>
      </w:r>
      <w:r w:rsidR="00403FA8" w:rsidRPr="00C46B21">
        <w:t xml:space="preserve"> </w:t>
      </w:r>
      <w:r w:rsidR="00C46B21" w:rsidRPr="00C46B21">
        <w:t xml:space="preserve">will involve consultation with the applicant at time of a </w:t>
      </w:r>
      <w:r w:rsidR="00403FA8">
        <w:t>g</w:t>
      </w:r>
      <w:r w:rsidR="00403FA8" w:rsidRPr="00C46B21">
        <w:t xml:space="preserve">rant </w:t>
      </w:r>
      <w:r w:rsidR="00403FA8">
        <w:t>o</w:t>
      </w:r>
      <w:r w:rsidR="00403FA8" w:rsidRPr="00C46B21">
        <w:t xml:space="preserve">ffer </w:t>
      </w:r>
      <w:r w:rsidR="00C46B21" w:rsidRPr="00C46B21">
        <w:t>being made.</w:t>
      </w:r>
    </w:p>
    <w:p w14:paraId="5608C60E" w14:textId="004139B0" w:rsidR="00C46B21" w:rsidRDefault="0077399D" w:rsidP="00C46B21">
      <w:pPr>
        <w:pStyle w:val="Heading7"/>
        <w:numPr>
          <w:ilvl w:val="0"/>
          <w:numId w:val="0"/>
        </w:numPr>
        <w:ind w:left="1134" w:hanging="567"/>
      </w:pPr>
      <w:r>
        <w:t>1</w:t>
      </w:r>
      <w:r w:rsidR="00D35F15">
        <w:t>1</w:t>
      </w:r>
      <w:r w:rsidR="00C46B21">
        <w:t>.</w:t>
      </w:r>
      <w:r w:rsidR="00C46B21">
        <w:tab/>
        <w:t xml:space="preserve">As part of the </w:t>
      </w:r>
      <w:r w:rsidR="003B486F">
        <w:t>application</w:t>
      </w:r>
      <w:r w:rsidR="00C46B21">
        <w:t xml:space="preserve"> process, the </w:t>
      </w:r>
      <w:r w:rsidR="00403FA8">
        <w:t xml:space="preserve">City </w:t>
      </w:r>
      <w:r w:rsidR="00C46B21">
        <w:t>may consult with an applicant regarding possible modifications to their proposal which would address more appropriately the Council’s strategic objectives.</w:t>
      </w:r>
    </w:p>
    <w:p w14:paraId="29A2F77B" w14:textId="5E6ED46F" w:rsidR="003B486F" w:rsidRPr="003B486F" w:rsidRDefault="0077399D" w:rsidP="003B486F">
      <w:pPr>
        <w:ind w:left="1134" w:hanging="567"/>
      </w:pPr>
      <w:r>
        <w:t>1</w:t>
      </w:r>
      <w:r w:rsidR="00D35F15">
        <w:t>2</w:t>
      </w:r>
      <w:r w:rsidR="003B486F">
        <w:t>.</w:t>
      </w:r>
      <w:r w:rsidR="003B486F">
        <w:tab/>
      </w:r>
      <w:r w:rsidR="00403FA8">
        <w:t xml:space="preserve">City </w:t>
      </w:r>
      <w:r w:rsidR="003B486F">
        <w:t xml:space="preserve">officers will have </w:t>
      </w:r>
      <w:r w:rsidR="00467C4F">
        <w:t>three</w:t>
      </w:r>
      <w:r w:rsidR="00484E11">
        <w:t xml:space="preserve"> working days </w:t>
      </w:r>
      <w:r w:rsidR="003B486F">
        <w:t xml:space="preserve">to contact applicants after the grant round has closed to clarify technical points such as eligibility, if necessary, </w:t>
      </w:r>
      <w:r w:rsidR="00E26D54">
        <w:t>or t</w:t>
      </w:r>
      <w:r w:rsidR="003B486F">
        <w:t xml:space="preserve">o request the provision of supplementary information that would assist the </w:t>
      </w:r>
      <w:r w:rsidR="00403FA8">
        <w:t xml:space="preserve">assessment panel </w:t>
      </w:r>
      <w:r w:rsidR="003B486F">
        <w:t xml:space="preserve">in </w:t>
      </w:r>
      <w:r w:rsidR="00403FA8">
        <w:t xml:space="preserve">its </w:t>
      </w:r>
      <w:r w:rsidR="003B486F">
        <w:t>deliberations.</w:t>
      </w:r>
    </w:p>
    <w:p w14:paraId="6BFCEED7" w14:textId="2815E4BE" w:rsidR="00C46B21" w:rsidRDefault="00C46B21" w:rsidP="00C46B21">
      <w:pPr>
        <w:pStyle w:val="Heading7"/>
        <w:numPr>
          <w:ilvl w:val="0"/>
          <w:numId w:val="0"/>
        </w:numPr>
        <w:ind w:left="1134" w:hanging="567"/>
      </w:pPr>
      <w:r>
        <w:t>1</w:t>
      </w:r>
      <w:r w:rsidR="00D35F15">
        <w:t>3</w:t>
      </w:r>
      <w:r>
        <w:t>.</w:t>
      </w:r>
      <w:r>
        <w:tab/>
        <w:t xml:space="preserve">Applications will be assessed according to the </w:t>
      </w:r>
      <w:r w:rsidR="00403FA8">
        <w:t xml:space="preserve">guideline </w:t>
      </w:r>
      <w:r>
        <w:t xml:space="preserve">documents for each grant stream as </w:t>
      </w:r>
      <w:r w:rsidR="00D35F15">
        <w:t>provided on the City of Hobart’s website.</w:t>
      </w:r>
    </w:p>
    <w:p w14:paraId="6163A10B" w14:textId="3DFDA1D4" w:rsidR="00C46B21" w:rsidRDefault="0077399D" w:rsidP="00C46B21">
      <w:pPr>
        <w:pStyle w:val="Heading7"/>
        <w:numPr>
          <w:ilvl w:val="0"/>
          <w:numId w:val="0"/>
        </w:numPr>
        <w:ind w:left="1134" w:hanging="567"/>
      </w:pPr>
      <w:r>
        <w:t>1</w:t>
      </w:r>
      <w:r w:rsidR="00D35F15">
        <w:t>4</w:t>
      </w:r>
      <w:r w:rsidR="00C46B21">
        <w:t>.</w:t>
      </w:r>
      <w:r w:rsidR="00C46B21">
        <w:tab/>
      </w:r>
      <w:r w:rsidR="00D8731B">
        <w:t>A</w:t>
      </w:r>
      <w:r w:rsidR="00C46B21">
        <w:t xml:space="preserve">ssessment panels will assess applications </w:t>
      </w:r>
      <w:r w:rsidR="00D8731B">
        <w:t xml:space="preserve">for </w:t>
      </w:r>
      <w:r w:rsidR="00C46B21">
        <w:t>each grant stream (with the excep</w:t>
      </w:r>
      <w:r w:rsidR="00262D10">
        <w:t xml:space="preserve">tion of </w:t>
      </w:r>
      <w:r w:rsidR="00403FA8">
        <w:t>quick r</w:t>
      </w:r>
      <w:r w:rsidR="00262D10">
        <w:t xml:space="preserve">esponse </w:t>
      </w:r>
      <w:r w:rsidR="00403FA8">
        <w:t>grants</w:t>
      </w:r>
      <w:r w:rsidR="00262D10">
        <w:t xml:space="preserve">). </w:t>
      </w:r>
      <w:r w:rsidR="00C46B21">
        <w:t xml:space="preserve"> The panels will comprise a</w:t>
      </w:r>
      <w:r w:rsidR="00FF030F">
        <w:t xml:space="preserve">t least one </w:t>
      </w:r>
      <w:r w:rsidR="00C46B21">
        <w:t>external representative from the community, cultural</w:t>
      </w:r>
      <w:r w:rsidR="009F7C0D">
        <w:t>, business</w:t>
      </w:r>
      <w:r w:rsidR="00C46B21">
        <w:t xml:space="preserve"> or event sectors as appropriate, as well as </w:t>
      </w:r>
      <w:r w:rsidR="00D8731B">
        <w:t xml:space="preserve">City </w:t>
      </w:r>
      <w:r w:rsidR="00C46B21">
        <w:t xml:space="preserve">officers. </w:t>
      </w:r>
      <w:r w:rsidR="0083641B">
        <w:t xml:space="preserve"> </w:t>
      </w:r>
      <w:r w:rsidR="00C46B21">
        <w:t xml:space="preserve">The panels will assess applications against the assessment criteria set out in the </w:t>
      </w:r>
      <w:r w:rsidR="00D8731B">
        <w:t>grant guidelines</w:t>
      </w:r>
      <w:r w:rsidR="00D35F15">
        <w:t>.</w:t>
      </w:r>
    </w:p>
    <w:p w14:paraId="46261569" w14:textId="660DD5D0" w:rsidR="00C46B21" w:rsidRDefault="00C46B21" w:rsidP="00C46B21">
      <w:pPr>
        <w:pStyle w:val="Heading7"/>
        <w:numPr>
          <w:ilvl w:val="0"/>
          <w:numId w:val="0"/>
        </w:numPr>
        <w:ind w:left="1134" w:hanging="567"/>
      </w:pPr>
      <w:r>
        <w:t>1</w:t>
      </w:r>
      <w:r w:rsidR="00D35F15">
        <w:t>5</w:t>
      </w:r>
      <w:r>
        <w:t>.</w:t>
      </w:r>
      <w:r>
        <w:tab/>
      </w:r>
      <w:r w:rsidR="00D8731B">
        <w:t>A</w:t>
      </w:r>
      <w:r>
        <w:t>ssessment panel</w:t>
      </w:r>
      <w:r w:rsidR="00D8731B">
        <w:t xml:space="preserve"> recommendations </w:t>
      </w:r>
      <w:r>
        <w:t xml:space="preserve">will be referred to </w:t>
      </w:r>
      <w:r w:rsidR="00D8731B">
        <w:t xml:space="preserve">either </w:t>
      </w:r>
      <w:r>
        <w:t xml:space="preserve">the Council’s Community, Culture and Events Committee </w:t>
      </w:r>
      <w:r w:rsidR="00D8731B">
        <w:t xml:space="preserve">or the Economic Development and Communications Committee </w:t>
      </w:r>
      <w:r>
        <w:t>via an officer report and then onto the Council for consideration.</w:t>
      </w:r>
    </w:p>
    <w:p w14:paraId="3E1044FF" w14:textId="77777777" w:rsidR="009F7C0D" w:rsidRDefault="00C46B21" w:rsidP="009F7C0D">
      <w:pPr>
        <w:pStyle w:val="Heading8"/>
        <w:numPr>
          <w:ilvl w:val="0"/>
          <w:numId w:val="0"/>
        </w:numPr>
        <w:ind w:left="1701" w:hanging="567"/>
      </w:pPr>
      <w:r w:rsidRPr="00C46B21">
        <w:t>(i)</w:t>
      </w:r>
      <w:r w:rsidRPr="00C46B21">
        <w:tab/>
        <w:t>The reports will detail the outcome of the assessment process, and in particular who were the successful and unsuccessful applicants.</w:t>
      </w:r>
    </w:p>
    <w:p w14:paraId="20483FF4" w14:textId="3C3CA677" w:rsidR="00F731D9" w:rsidRPr="00F731D9" w:rsidRDefault="00F731D9" w:rsidP="00FA2F43">
      <w:pPr>
        <w:ind w:left="1134" w:hanging="567"/>
      </w:pPr>
      <w:r>
        <w:t>16.</w:t>
      </w:r>
      <w:r w:rsidR="007802B3">
        <w:tab/>
        <w:t>Deputations/presentations by applicant organisations to the Council’s Community, Culture and Events Committee or the Economic Development and Communications Committee shall not be permitted following the closing date of the grant round.</w:t>
      </w:r>
    </w:p>
    <w:p w14:paraId="089B1E4A" w14:textId="7FC66A9B" w:rsidR="00C46B21" w:rsidRDefault="0077399D" w:rsidP="00C46B21">
      <w:pPr>
        <w:pStyle w:val="Heading7"/>
        <w:numPr>
          <w:ilvl w:val="0"/>
          <w:numId w:val="0"/>
        </w:numPr>
        <w:ind w:left="1134" w:hanging="567"/>
      </w:pPr>
      <w:r>
        <w:t>1</w:t>
      </w:r>
      <w:r w:rsidR="00F731D9">
        <w:t>7</w:t>
      </w:r>
      <w:r w:rsidR="00C46B21">
        <w:t>.</w:t>
      </w:r>
      <w:r w:rsidR="00C46B21">
        <w:tab/>
        <w:t xml:space="preserve">Quick </w:t>
      </w:r>
      <w:r w:rsidR="008F6116">
        <w:t xml:space="preserve">response </w:t>
      </w:r>
      <w:r w:rsidR="00C46B21">
        <w:t xml:space="preserve">grants will be considered </w:t>
      </w:r>
      <w:r w:rsidR="008F6116">
        <w:t xml:space="preserve">when </w:t>
      </w:r>
      <w:r w:rsidR="00C46B21">
        <w:t xml:space="preserve">they are received throughout the year, and they will not be </w:t>
      </w:r>
      <w:r w:rsidR="00FC4E19">
        <w:t>offered through</w:t>
      </w:r>
      <w:r w:rsidR="00C46B21">
        <w:t xml:space="preserve"> specific funding rounds.</w:t>
      </w:r>
    </w:p>
    <w:p w14:paraId="41E5C471" w14:textId="01C07E6C" w:rsidR="00C46B21" w:rsidRDefault="0077399D" w:rsidP="00C46B21">
      <w:pPr>
        <w:pStyle w:val="Heading7"/>
        <w:numPr>
          <w:ilvl w:val="0"/>
          <w:numId w:val="0"/>
        </w:numPr>
        <w:ind w:left="1134" w:hanging="567"/>
      </w:pPr>
      <w:r>
        <w:t>1</w:t>
      </w:r>
      <w:r w:rsidR="00F731D9">
        <w:t>8</w:t>
      </w:r>
      <w:r w:rsidR="00C46B21">
        <w:t>.</w:t>
      </w:r>
      <w:r w:rsidR="00C46B21">
        <w:tab/>
        <w:t xml:space="preserve">Quick </w:t>
      </w:r>
      <w:r w:rsidR="009C7F49">
        <w:t>r</w:t>
      </w:r>
      <w:r w:rsidR="008F6116">
        <w:t xml:space="preserve">esponse </w:t>
      </w:r>
      <w:r w:rsidR="00C46B21">
        <w:t xml:space="preserve">grants </w:t>
      </w:r>
      <w:r w:rsidR="00D35F15">
        <w:t>will</w:t>
      </w:r>
      <w:r w:rsidR="00C46B21">
        <w:t xml:space="preserve"> be </w:t>
      </w:r>
      <w:r w:rsidR="00DF2AA9">
        <w:t xml:space="preserve">approved </w:t>
      </w:r>
      <w:r w:rsidR="00C46B21">
        <w:t xml:space="preserve">under the </w:t>
      </w:r>
      <w:r w:rsidR="00DE2F9B">
        <w:t xml:space="preserve">Associate </w:t>
      </w:r>
      <w:r w:rsidR="00C46B21">
        <w:t>Director</w:t>
      </w:r>
      <w:r w:rsidR="003D5A1A">
        <w:t xml:space="preserve"> Community and Culture’s</w:t>
      </w:r>
      <w:r w:rsidR="00C46B21">
        <w:t xml:space="preserve"> </w:t>
      </w:r>
      <w:r w:rsidR="003D5A1A">
        <w:t>g</w:t>
      </w:r>
      <w:r w:rsidR="00C46B21">
        <w:t xml:space="preserve">eneral </w:t>
      </w:r>
      <w:r w:rsidR="003D5A1A">
        <w:t>d</w:t>
      </w:r>
      <w:r w:rsidR="00C46B21">
        <w:t xml:space="preserve">elegation </w:t>
      </w:r>
      <w:r w:rsidR="003D5A1A">
        <w:t xml:space="preserve">or for the marketing grants under the Associate Director Communications and Marketing’s general delegation </w:t>
      </w:r>
      <w:r w:rsidR="00C46B21">
        <w:t>(as referenced in the C</w:t>
      </w:r>
      <w:r w:rsidR="008F6116">
        <w:t>ity</w:t>
      </w:r>
      <w:r w:rsidR="00C46B21">
        <w:t xml:space="preserve">’s </w:t>
      </w:r>
      <w:r w:rsidR="008F6116">
        <w:t>delegation register</w:t>
      </w:r>
      <w:r w:rsidR="00C46B21">
        <w:t xml:space="preserve">), whereby </w:t>
      </w:r>
      <w:r w:rsidR="003D5A1A">
        <w:t>they are</w:t>
      </w:r>
      <w:r w:rsidR="00C46B21">
        <w:t xml:space="preserve"> able to approve grants to organisations for $1000 or less, where the organisation has not received a quick response grant </w:t>
      </w:r>
      <w:r w:rsidR="00866DC2">
        <w:t xml:space="preserve">more than once in a calendar year </w:t>
      </w:r>
      <w:r w:rsidR="00C46B21">
        <w:t>subject to other guidelines and principles.</w:t>
      </w:r>
      <w:r w:rsidR="00D35F15">
        <w:t xml:space="preserve">  The total delegated amount will have an upper limit </w:t>
      </w:r>
      <w:r w:rsidR="00E1389C">
        <w:t xml:space="preserve">in line with the budget </w:t>
      </w:r>
      <w:r w:rsidR="00F5022C">
        <w:t xml:space="preserve">allocation for each </w:t>
      </w:r>
      <w:r w:rsidR="008F6116">
        <w:t xml:space="preserve">quick response </w:t>
      </w:r>
      <w:r w:rsidR="00F5022C">
        <w:t>grant stream as approved by the Council.</w:t>
      </w:r>
    </w:p>
    <w:p w14:paraId="78BACBCE" w14:textId="3BC00D0C" w:rsidR="00C46B21" w:rsidRDefault="00D35F15" w:rsidP="00C46B21">
      <w:pPr>
        <w:pStyle w:val="Heading7"/>
        <w:numPr>
          <w:ilvl w:val="0"/>
          <w:numId w:val="0"/>
        </w:numPr>
        <w:ind w:left="1134" w:hanging="567"/>
      </w:pPr>
      <w:r>
        <w:t>1</w:t>
      </w:r>
      <w:r w:rsidR="00F731D9">
        <w:t>9</w:t>
      </w:r>
      <w:r w:rsidR="00C46B21">
        <w:t>.</w:t>
      </w:r>
      <w:r w:rsidR="00C46B21">
        <w:tab/>
        <w:t xml:space="preserve">Where </w:t>
      </w:r>
      <w:r w:rsidR="00132F07">
        <w:t xml:space="preserve">new </w:t>
      </w:r>
      <w:r w:rsidR="00FC4E19">
        <w:t xml:space="preserve">quick response </w:t>
      </w:r>
      <w:r w:rsidR="00C46B21">
        <w:t>grant</w:t>
      </w:r>
      <w:r w:rsidR="00132F07">
        <w:t>s have been awarded, this</w:t>
      </w:r>
      <w:r w:rsidR="00C46B21">
        <w:t xml:space="preserve"> information would be provided to the relevant </w:t>
      </w:r>
      <w:r w:rsidR="00132F07">
        <w:t xml:space="preserve">Council </w:t>
      </w:r>
      <w:r w:rsidR="00C46B21">
        <w:t>Committee</w:t>
      </w:r>
      <w:r w:rsidR="00132F07">
        <w:t xml:space="preserve"> at its next meeting</w:t>
      </w:r>
      <w:r w:rsidR="00C46B21">
        <w:t>.  These reports would not be subject to Council determination</w:t>
      </w:r>
      <w:r w:rsidR="00132F07">
        <w:t xml:space="preserve"> </w:t>
      </w:r>
      <w:r w:rsidR="00C46B21">
        <w:t xml:space="preserve">as they would be </w:t>
      </w:r>
      <w:r w:rsidR="00132F07">
        <w:t>provided for information only</w:t>
      </w:r>
      <w:r w:rsidR="00C46B21">
        <w:t>.</w:t>
      </w:r>
    </w:p>
    <w:p w14:paraId="312983BD" w14:textId="556B8BBE" w:rsidR="00F5022C" w:rsidRPr="00F5022C" w:rsidRDefault="00F731D9" w:rsidP="00F5022C">
      <w:pPr>
        <w:tabs>
          <w:tab w:val="left" w:pos="1134"/>
        </w:tabs>
        <w:ind w:left="1134" w:hanging="567"/>
      </w:pPr>
      <w:r>
        <w:t>20</w:t>
      </w:r>
      <w:r w:rsidR="00F5022C">
        <w:t>.</w:t>
      </w:r>
      <w:r w:rsidR="00F5022C">
        <w:tab/>
        <w:t xml:space="preserve">The General Manager </w:t>
      </w:r>
      <w:r w:rsidR="00132F07">
        <w:t xml:space="preserve">is </w:t>
      </w:r>
      <w:r w:rsidR="00F5022C">
        <w:t xml:space="preserve">delegated to authorise administrative changes to the </w:t>
      </w:r>
      <w:r w:rsidR="003D5A1A">
        <w:t>g</w:t>
      </w:r>
      <w:r w:rsidR="00F5022C">
        <w:t xml:space="preserve">rants </w:t>
      </w:r>
      <w:r w:rsidR="003D5A1A">
        <w:t>p</w:t>
      </w:r>
      <w:r w:rsidR="00F5022C">
        <w:t>rogram guidelines in line with this policy, as required throughout the implementation of the program.</w:t>
      </w:r>
    </w:p>
    <w:p w14:paraId="20AFC4B3" w14:textId="77777777" w:rsidR="00393C68" w:rsidRPr="00C92435" w:rsidRDefault="00744E5D" w:rsidP="00C92435">
      <w:pPr>
        <w:pStyle w:val="Heading6"/>
      </w:pPr>
      <w:r w:rsidRPr="00C92435">
        <w:t>Legislation, Terminology and References</w:t>
      </w:r>
    </w:p>
    <w:p w14:paraId="1219D51B" w14:textId="77777777" w:rsidR="00C46B21" w:rsidRPr="00446018" w:rsidRDefault="005513C6" w:rsidP="00C46B21">
      <w:pPr>
        <w:rPr>
          <w:i/>
        </w:rPr>
      </w:pPr>
      <w:r w:rsidRPr="00446018">
        <w:rPr>
          <w:i/>
        </w:rPr>
        <w:t>Capital City</w:t>
      </w:r>
      <w:r w:rsidR="00C46B21" w:rsidRPr="00446018">
        <w:rPr>
          <w:i/>
        </w:rPr>
        <w:t xml:space="preserve"> Strategic Plan 2015-2025</w:t>
      </w:r>
    </w:p>
    <w:p w14:paraId="04112AA1" w14:textId="749A5CBA" w:rsidR="00E53C16" w:rsidRDefault="00C46B21" w:rsidP="00C46B21">
      <w:r>
        <w:t xml:space="preserve">Delegations Register – Community, Culture and Events Committee </w:t>
      </w:r>
      <w:r w:rsidR="007802B3">
        <w:t xml:space="preserve">and Economic Development and Communications Committee </w:t>
      </w:r>
      <w:r>
        <w:t>Terms of Reference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33"/>
        <w:gridCol w:w="3305"/>
      </w:tblGrid>
      <w:tr w:rsidR="005A5340" w:rsidRPr="001969DA" w14:paraId="1B0A2103" w14:textId="77777777" w:rsidTr="00446018">
        <w:tc>
          <w:tcPr>
            <w:tcW w:w="6333" w:type="dxa"/>
            <w:tcBorders>
              <w:top w:val="single" w:sz="4" w:space="0" w:color="auto"/>
              <w:bottom w:val="single" w:sz="4" w:space="0" w:color="auto"/>
            </w:tcBorders>
          </w:tcPr>
          <w:p w14:paraId="219D1059" w14:textId="77777777" w:rsidR="005A5340" w:rsidRPr="001969DA" w:rsidRDefault="005A5340" w:rsidP="006D2797">
            <w:pPr>
              <w:spacing w:before="60" w:after="60"/>
              <w:ind w:left="0"/>
              <w:rPr>
                <w:b/>
                <w:sz w:val="20"/>
                <w:szCs w:val="20"/>
              </w:rPr>
            </w:pPr>
            <w:r w:rsidRPr="001969DA">
              <w:rPr>
                <w:b/>
                <w:sz w:val="20"/>
                <w:szCs w:val="20"/>
              </w:rPr>
              <w:t>Responsible Officer</w:t>
            </w:r>
            <w:r>
              <w:rPr>
                <w:b/>
                <w:sz w:val="20"/>
                <w:szCs w:val="20"/>
              </w:rPr>
              <w:t>:</w:t>
            </w:r>
          </w:p>
        </w:tc>
        <w:tc>
          <w:tcPr>
            <w:tcW w:w="3305" w:type="dxa"/>
            <w:tcBorders>
              <w:top w:val="single" w:sz="4" w:space="0" w:color="auto"/>
              <w:bottom w:val="single" w:sz="4" w:space="0" w:color="auto"/>
            </w:tcBorders>
          </w:tcPr>
          <w:p w14:paraId="2188E01B" w14:textId="77777777" w:rsidR="005A5340" w:rsidRPr="001969DA" w:rsidRDefault="00C46B21" w:rsidP="006D2797">
            <w:pPr>
              <w:spacing w:before="60" w:after="60"/>
              <w:ind w:left="0"/>
              <w:rPr>
                <w:sz w:val="20"/>
                <w:szCs w:val="20"/>
              </w:rPr>
            </w:pPr>
            <w:r w:rsidRPr="00C46B21">
              <w:rPr>
                <w:sz w:val="20"/>
                <w:szCs w:val="20"/>
              </w:rPr>
              <w:t>Director Community Development</w:t>
            </w:r>
          </w:p>
        </w:tc>
      </w:tr>
      <w:tr w:rsidR="005A5340" w:rsidRPr="001969DA" w14:paraId="46D714B1" w14:textId="77777777" w:rsidTr="00446018">
        <w:tc>
          <w:tcPr>
            <w:tcW w:w="6333" w:type="dxa"/>
          </w:tcPr>
          <w:p w14:paraId="6EA12237" w14:textId="77777777" w:rsidR="005A5340" w:rsidRPr="001969DA" w:rsidRDefault="005A5340" w:rsidP="006D2797">
            <w:pPr>
              <w:spacing w:before="60" w:after="60"/>
              <w:ind w:left="0"/>
              <w:rPr>
                <w:b/>
                <w:sz w:val="20"/>
                <w:szCs w:val="20"/>
              </w:rPr>
            </w:pPr>
            <w:r w:rsidRPr="001969DA">
              <w:rPr>
                <w:b/>
                <w:sz w:val="20"/>
                <w:szCs w:val="20"/>
              </w:rPr>
              <w:t>Policy first adopted</w:t>
            </w:r>
            <w:r>
              <w:rPr>
                <w:b/>
                <w:sz w:val="20"/>
                <w:szCs w:val="20"/>
              </w:rPr>
              <w:t xml:space="preserve"> by the Council:</w:t>
            </w:r>
          </w:p>
        </w:tc>
        <w:tc>
          <w:tcPr>
            <w:tcW w:w="3305" w:type="dxa"/>
          </w:tcPr>
          <w:p w14:paraId="36AA85AD" w14:textId="77777777" w:rsidR="005A5340" w:rsidRPr="001969DA" w:rsidRDefault="00C46B21" w:rsidP="006D2797">
            <w:pPr>
              <w:spacing w:before="60" w:after="60"/>
              <w:ind w:left="0"/>
              <w:rPr>
                <w:sz w:val="20"/>
                <w:szCs w:val="20"/>
              </w:rPr>
            </w:pPr>
            <w:r>
              <w:rPr>
                <w:sz w:val="20"/>
                <w:szCs w:val="20"/>
              </w:rPr>
              <w:t>21 September 2015</w:t>
            </w:r>
          </w:p>
        </w:tc>
      </w:tr>
      <w:tr w:rsidR="005A5340" w:rsidRPr="001969DA" w14:paraId="0505A9EE" w14:textId="77777777" w:rsidTr="00446018">
        <w:tc>
          <w:tcPr>
            <w:tcW w:w="6333" w:type="dxa"/>
          </w:tcPr>
          <w:p w14:paraId="444191C8" w14:textId="77777777" w:rsidR="005A5340" w:rsidRPr="001969DA" w:rsidRDefault="00C92435" w:rsidP="006D2797">
            <w:pPr>
              <w:spacing w:before="60" w:after="60"/>
              <w:ind w:left="0"/>
              <w:rPr>
                <w:b/>
                <w:sz w:val="20"/>
                <w:szCs w:val="20"/>
              </w:rPr>
            </w:pPr>
            <w:r>
              <w:rPr>
                <w:b/>
                <w:sz w:val="20"/>
                <w:szCs w:val="20"/>
              </w:rPr>
              <w:t>History</w:t>
            </w:r>
          </w:p>
        </w:tc>
        <w:tc>
          <w:tcPr>
            <w:tcW w:w="3305" w:type="dxa"/>
          </w:tcPr>
          <w:p w14:paraId="22828A70" w14:textId="77777777" w:rsidR="005A5340" w:rsidRPr="001969DA" w:rsidRDefault="005A5340" w:rsidP="006D2797">
            <w:pPr>
              <w:spacing w:before="60" w:after="60"/>
              <w:ind w:left="0"/>
              <w:rPr>
                <w:sz w:val="20"/>
                <w:szCs w:val="20"/>
              </w:rPr>
            </w:pPr>
          </w:p>
        </w:tc>
      </w:tr>
      <w:tr w:rsidR="004238E9" w:rsidRPr="001969DA" w14:paraId="2D455242" w14:textId="77777777" w:rsidTr="00446018">
        <w:tc>
          <w:tcPr>
            <w:tcW w:w="6333" w:type="dxa"/>
          </w:tcPr>
          <w:p w14:paraId="4554CEA0" w14:textId="77777777" w:rsidR="004238E9" w:rsidRPr="00C46B21" w:rsidRDefault="004238E9" w:rsidP="006D2797">
            <w:pPr>
              <w:spacing w:before="60" w:after="60"/>
              <w:rPr>
                <w:sz w:val="20"/>
                <w:szCs w:val="20"/>
              </w:rPr>
            </w:pPr>
            <w:r w:rsidRPr="004238E9">
              <w:rPr>
                <w:sz w:val="20"/>
                <w:szCs w:val="20"/>
              </w:rPr>
              <w:t>Amended by Council</w:t>
            </w:r>
          </w:p>
        </w:tc>
        <w:tc>
          <w:tcPr>
            <w:tcW w:w="3305" w:type="dxa"/>
          </w:tcPr>
          <w:p w14:paraId="6187AEAF" w14:textId="77777777" w:rsidR="004238E9" w:rsidRDefault="004238E9" w:rsidP="006D2797">
            <w:pPr>
              <w:spacing w:before="60" w:after="60"/>
              <w:ind w:left="0"/>
              <w:rPr>
                <w:sz w:val="20"/>
                <w:szCs w:val="20"/>
              </w:rPr>
            </w:pPr>
            <w:r>
              <w:rPr>
                <w:sz w:val="20"/>
                <w:szCs w:val="20"/>
              </w:rPr>
              <w:t>21/12/2015</w:t>
            </w:r>
          </w:p>
        </w:tc>
      </w:tr>
      <w:tr w:rsidR="00C46B21" w:rsidRPr="001969DA" w14:paraId="596D7298" w14:textId="77777777" w:rsidTr="00446018">
        <w:tc>
          <w:tcPr>
            <w:tcW w:w="6333" w:type="dxa"/>
          </w:tcPr>
          <w:p w14:paraId="577169EB" w14:textId="77777777" w:rsidR="00C46B21" w:rsidRDefault="00C46B21" w:rsidP="006D2797">
            <w:pPr>
              <w:spacing w:before="60" w:after="60"/>
              <w:rPr>
                <w:sz w:val="20"/>
                <w:szCs w:val="20"/>
              </w:rPr>
            </w:pPr>
            <w:r w:rsidRPr="00C46B21">
              <w:rPr>
                <w:sz w:val="20"/>
                <w:szCs w:val="20"/>
              </w:rPr>
              <w:t>Amended by Council</w:t>
            </w:r>
          </w:p>
        </w:tc>
        <w:tc>
          <w:tcPr>
            <w:tcW w:w="3305" w:type="dxa"/>
          </w:tcPr>
          <w:p w14:paraId="34F94233" w14:textId="77777777" w:rsidR="00C46B21" w:rsidRPr="00E059D3" w:rsidRDefault="00C46B21" w:rsidP="006D2797">
            <w:pPr>
              <w:spacing w:before="60" w:after="60"/>
              <w:ind w:left="0"/>
              <w:rPr>
                <w:sz w:val="20"/>
                <w:szCs w:val="20"/>
              </w:rPr>
            </w:pPr>
            <w:r>
              <w:rPr>
                <w:sz w:val="20"/>
                <w:szCs w:val="20"/>
              </w:rPr>
              <w:t>25/1/2016</w:t>
            </w:r>
          </w:p>
        </w:tc>
      </w:tr>
      <w:tr w:rsidR="005D0A62" w:rsidRPr="001969DA" w14:paraId="3ADFE5D3" w14:textId="77777777" w:rsidTr="00446018">
        <w:tc>
          <w:tcPr>
            <w:tcW w:w="6333" w:type="dxa"/>
          </w:tcPr>
          <w:p w14:paraId="56D229C7" w14:textId="77777777" w:rsidR="005D0A62" w:rsidRPr="00C46B21" w:rsidRDefault="005D0A62" w:rsidP="006D2797">
            <w:pPr>
              <w:spacing w:before="60" w:after="60"/>
              <w:rPr>
                <w:sz w:val="20"/>
                <w:szCs w:val="20"/>
              </w:rPr>
            </w:pPr>
            <w:r>
              <w:rPr>
                <w:sz w:val="20"/>
                <w:szCs w:val="20"/>
              </w:rPr>
              <w:t>Amended by Council</w:t>
            </w:r>
          </w:p>
        </w:tc>
        <w:tc>
          <w:tcPr>
            <w:tcW w:w="3305" w:type="dxa"/>
          </w:tcPr>
          <w:p w14:paraId="57999B19" w14:textId="77777777" w:rsidR="005D0A62" w:rsidRDefault="005D0A62" w:rsidP="006D2797">
            <w:pPr>
              <w:spacing w:before="60" w:after="60"/>
              <w:ind w:left="0"/>
              <w:rPr>
                <w:sz w:val="20"/>
                <w:szCs w:val="20"/>
              </w:rPr>
            </w:pPr>
            <w:r>
              <w:rPr>
                <w:sz w:val="20"/>
                <w:szCs w:val="20"/>
              </w:rPr>
              <w:t>6/6/2016</w:t>
            </w:r>
          </w:p>
        </w:tc>
      </w:tr>
      <w:tr w:rsidR="004857C1" w:rsidRPr="001969DA" w14:paraId="44E85D88" w14:textId="77777777" w:rsidTr="00446018">
        <w:tc>
          <w:tcPr>
            <w:tcW w:w="6333" w:type="dxa"/>
          </w:tcPr>
          <w:p w14:paraId="3A809E07" w14:textId="77777777" w:rsidR="004857C1" w:rsidRPr="00C46B21" w:rsidRDefault="004857C1" w:rsidP="004F7ABF">
            <w:pPr>
              <w:spacing w:before="60" w:after="60"/>
              <w:rPr>
                <w:sz w:val="20"/>
                <w:szCs w:val="20"/>
              </w:rPr>
            </w:pPr>
            <w:r>
              <w:rPr>
                <w:sz w:val="20"/>
                <w:szCs w:val="20"/>
              </w:rPr>
              <w:t>Amended by Council</w:t>
            </w:r>
          </w:p>
        </w:tc>
        <w:tc>
          <w:tcPr>
            <w:tcW w:w="3305" w:type="dxa"/>
          </w:tcPr>
          <w:p w14:paraId="733B4C3B" w14:textId="77777777" w:rsidR="004857C1" w:rsidRDefault="004857C1" w:rsidP="004857C1">
            <w:pPr>
              <w:spacing w:before="60" w:after="60"/>
              <w:ind w:left="0"/>
              <w:rPr>
                <w:sz w:val="20"/>
                <w:szCs w:val="20"/>
              </w:rPr>
            </w:pPr>
            <w:r>
              <w:rPr>
                <w:sz w:val="20"/>
                <w:szCs w:val="20"/>
              </w:rPr>
              <w:t>25/7/2016</w:t>
            </w:r>
          </w:p>
        </w:tc>
      </w:tr>
      <w:tr w:rsidR="00F5022C" w:rsidRPr="001969DA" w14:paraId="6F7769F7" w14:textId="77777777" w:rsidTr="00446018">
        <w:tc>
          <w:tcPr>
            <w:tcW w:w="6333" w:type="dxa"/>
          </w:tcPr>
          <w:p w14:paraId="21590C0A" w14:textId="77777777" w:rsidR="00F5022C" w:rsidRPr="00C46B21" w:rsidRDefault="00F5022C" w:rsidP="00FB158C">
            <w:pPr>
              <w:spacing w:before="60" w:after="60"/>
              <w:rPr>
                <w:sz w:val="20"/>
                <w:szCs w:val="20"/>
              </w:rPr>
            </w:pPr>
            <w:r>
              <w:rPr>
                <w:sz w:val="20"/>
                <w:szCs w:val="20"/>
              </w:rPr>
              <w:t>Amended by Council</w:t>
            </w:r>
          </w:p>
        </w:tc>
        <w:tc>
          <w:tcPr>
            <w:tcW w:w="3305" w:type="dxa"/>
          </w:tcPr>
          <w:p w14:paraId="702FA91B" w14:textId="77777777" w:rsidR="00F5022C" w:rsidRDefault="00F5022C" w:rsidP="00F5022C">
            <w:pPr>
              <w:spacing w:before="60" w:after="60"/>
              <w:ind w:left="0"/>
              <w:rPr>
                <w:sz w:val="20"/>
                <w:szCs w:val="20"/>
              </w:rPr>
            </w:pPr>
            <w:r>
              <w:rPr>
                <w:sz w:val="20"/>
                <w:szCs w:val="20"/>
              </w:rPr>
              <w:t>21/11/2016</w:t>
            </w:r>
          </w:p>
        </w:tc>
      </w:tr>
      <w:tr w:rsidR="00E35BE6" w:rsidRPr="001969DA" w14:paraId="756A6201" w14:textId="77777777" w:rsidTr="00446018">
        <w:tc>
          <w:tcPr>
            <w:tcW w:w="6333" w:type="dxa"/>
          </w:tcPr>
          <w:p w14:paraId="0025CFA4" w14:textId="0D3EA5BF" w:rsidR="00E35BE6" w:rsidRDefault="00E35BE6" w:rsidP="00FB158C">
            <w:pPr>
              <w:spacing w:before="60" w:after="60"/>
              <w:rPr>
                <w:sz w:val="20"/>
                <w:szCs w:val="20"/>
              </w:rPr>
            </w:pPr>
            <w:r>
              <w:rPr>
                <w:sz w:val="20"/>
                <w:szCs w:val="20"/>
              </w:rPr>
              <w:t>Amended by Council</w:t>
            </w:r>
          </w:p>
        </w:tc>
        <w:tc>
          <w:tcPr>
            <w:tcW w:w="3305" w:type="dxa"/>
          </w:tcPr>
          <w:p w14:paraId="459B6479" w14:textId="0F2188CF" w:rsidR="00E35BE6" w:rsidRDefault="00BA7C46" w:rsidP="00F5022C">
            <w:pPr>
              <w:spacing w:before="60" w:after="60"/>
              <w:ind w:left="0"/>
              <w:rPr>
                <w:sz w:val="20"/>
                <w:szCs w:val="20"/>
              </w:rPr>
            </w:pPr>
            <w:r>
              <w:rPr>
                <w:sz w:val="20"/>
                <w:szCs w:val="20"/>
              </w:rPr>
              <w:t>22</w:t>
            </w:r>
            <w:r w:rsidR="00E35BE6">
              <w:rPr>
                <w:sz w:val="20"/>
                <w:szCs w:val="20"/>
              </w:rPr>
              <w:t>/5/2017</w:t>
            </w:r>
          </w:p>
        </w:tc>
      </w:tr>
      <w:tr w:rsidR="00BA7C46" w:rsidRPr="001969DA" w14:paraId="57249274" w14:textId="77777777" w:rsidTr="00446018">
        <w:tc>
          <w:tcPr>
            <w:tcW w:w="6333" w:type="dxa"/>
          </w:tcPr>
          <w:p w14:paraId="1B0CAB68" w14:textId="31134A2D" w:rsidR="00BA7C46" w:rsidRDefault="00BA7C46" w:rsidP="00FB158C">
            <w:pPr>
              <w:spacing w:before="60" w:after="60"/>
              <w:rPr>
                <w:sz w:val="20"/>
                <w:szCs w:val="20"/>
              </w:rPr>
            </w:pPr>
            <w:r>
              <w:rPr>
                <w:sz w:val="20"/>
                <w:szCs w:val="20"/>
              </w:rPr>
              <w:t>Amended by Council</w:t>
            </w:r>
          </w:p>
        </w:tc>
        <w:tc>
          <w:tcPr>
            <w:tcW w:w="3305" w:type="dxa"/>
          </w:tcPr>
          <w:p w14:paraId="50188148" w14:textId="4C11789D" w:rsidR="00BA7C46" w:rsidRDefault="00BA7C46" w:rsidP="00F5022C">
            <w:pPr>
              <w:spacing w:before="60" w:after="60"/>
              <w:ind w:left="0"/>
              <w:rPr>
                <w:sz w:val="20"/>
                <w:szCs w:val="20"/>
              </w:rPr>
            </w:pPr>
            <w:r>
              <w:rPr>
                <w:sz w:val="20"/>
                <w:szCs w:val="20"/>
              </w:rPr>
              <w:t>5/6/2017</w:t>
            </w:r>
          </w:p>
        </w:tc>
      </w:tr>
      <w:tr w:rsidR="00E35BE6" w:rsidRPr="001969DA" w14:paraId="3425F1C2" w14:textId="77777777" w:rsidTr="00446018">
        <w:tc>
          <w:tcPr>
            <w:tcW w:w="6333" w:type="dxa"/>
          </w:tcPr>
          <w:p w14:paraId="6108FE2D" w14:textId="2EB879C4" w:rsidR="00E35BE6" w:rsidRDefault="00E35BE6" w:rsidP="00FB158C">
            <w:pPr>
              <w:spacing w:before="60" w:after="60"/>
              <w:rPr>
                <w:sz w:val="20"/>
                <w:szCs w:val="20"/>
              </w:rPr>
            </w:pPr>
            <w:r>
              <w:rPr>
                <w:sz w:val="20"/>
                <w:szCs w:val="20"/>
              </w:rPr>
              <w:t>Amended by Council</w:t>
            </w:r>
          </w:p>
        </w:tc>
        <w:tc>
          <w:tcPr>
            <w:tcW w:w="3305" w:type="dxa"/>
          </w:tcPr>
          <w:p w14:paraId="310BFE42" w14:textId="6F0B33B0" w:rsidR="00E35BE6" w:rsidRDefault="00BA7C46" w:rsidP="00BA7C46">
            <w:pPr>
              <w:spacing w:before="60" w:after="60"/>
              <w:ind w:left="0"/>
              <w:rPr>
                <w:sz w:val="20"/>
                <w:szCs w:val="20"/>
              </w:rPr>
            </w:pPr>
            <w:r>
              <w:rPr>
                <w:sz w:val="20"/>
                <w:szCs w:val="20"/>
              </w:rPr>
              <w:t>4</w:t>
            </w:r>
            <w:r w:rsidR="00E35BE6">
              <w:rPr>
                <w:sz w:val="20"/>
                <w:szCs w:val="20"/>
              </w:rPr>
              <w:t>/1</w:t>
            </w:r>
            <w:r>
              <w:rPr>
                <w:sz w:val="20"/>
                <w:szCs w:val="20"/>
              </w:rPr>
              <w:t>2</w:t>
            </w:r>
            <w:r w:rsidR="00E35BE6">
              <w:rPr>
                <w:sz w:val="20"/>
                <w:szCs w:val="20"/>
              </w:rPr>
              <w:t>/</w:t>
            </w:r>
            <w:r>
              <w:rPr>
                <w:sz w:val="20"/>
                <w:szCs w:val="20"/>
              </w:rPr>
              <w:t>20</w:t>
            </w:r>
            <w:r w:rsidR="00E35BE6">
              <w:rPr>
                <w:sz w:val="20"/>
                <w:szCs w:val="20"/>
              </w:rPr>
              <w:t>17</w:t>
            </w:r>
          </w:p>
        </w:tc>
      </w:tr>
      <w:tr w:rsidR="00446018" w:rsidRPr="001969DA" w14:paraId="60ECEB2C" w14:textId="77777777" w:rsidTr="00446018">
        <w:tc>
          <w:tcPr>
            <w:tcW w:w="6333" w:type="dxa"/>
          </w:tcPr>
          <w:p w14:paraId="433728A5" w14:textId="77777777" w:rsidR="00446018" w:rsidRDefault="00446018" w:rsidP="00523B3A">
            <w:pPr>
              <w:spacing w:before="60" w:after="60"/>
              <w:rPr>
                <w:sz w:val="20"/>
                <w:szCs w:val="20"/>
              </w:rPr>
            </w:pPr>
            <w:r>
              <w:rPr>
                <w:sz w:val="20"/>
                <w:szCs w:val="20"/>
              </w:rPr>
              <w:t>Amended by Council</w:t>
            </w:r>
          </w:p>
        </w:tc>
        <w:tc>
          <w:tcPr>
            <w:tcW w:w="3305" w:type="dxa"/>
          </w:tcPr>
          <w:p w14:paraId="361F1171" w14:textId="5E335C35" w:rsidR="00446018" w:rsidRDefault="00446018" w:rsidP="00523B3A">
            <w:pPr>
              <w:spacing w:before="60" w:after="60"/>
              <w:ind w:left="0"/>
              <w:rPr>
                <w:sz w:val="20"/>
                <w:szCs w:val="20"/>
              </w:rPr>
            </w:pPr>
            <w:r>
              <w:rPr>
                <w:sz w:val="20"/>
                <w:szCs w:val="20"/>
              </w:rPr>
              <w:t>19/3/2018</w:t>
            </w:r>
          </w:p>
        </w:tc>
      </w:tr>
      <w:tr w:rsidR="00A96006" w:rsidRPr="001969DA" w14:paraId="73C7A186" w14:textId="77777777" w:rsidTr="00C25AB9">
        <w:tc>
          <w:tcPr>
            <w:tcW w:w="6333" w:type="dxa"/>
          </w:tcPr>
          <w:p w14:paraId="649E1058" w14:textId="77777777" w:rsidR="00A96006" w:rsidRDefault="00A96006" w:rsidP="00C25AB9">
            <w:pPr>
              <w:spacing w:before="60" w:after="60"/>
              <w:rPr>
                <w:sz w:val="20"/>
                <w:szCs w:val="20"/>
              </w:rPr>
            </w:pPr>
            <w:r>
              <w:rPr>
                <w:sz w:val="20"/>
                <w:szCs w:val="20"/>
              </w:rPr>
              <w:t>Amended by Council</w:t>
            </w:r>
          </w:p>
        </w:tc>
        <w:tc>
          <w:tcPr>
            <w:tcW w:w="3305" w:type="dxa"/>
          </w:tcPr>
          <w:p w14:paraId="1EE5DFCE" w14:textId="2D28F708" w:rsidR="00A96006" w:rsidRDefault="00A96006" w:rsidP="00A96006">
            <w:pPr>
              <w:spacing w:before="60" w:after="60"/>
              <w:ind w:left="0"/>
              <w:rPr>
                <w:sz w:val="20"/>
                <w:szCs w:val="20"/>
              </w:rPr>
            </w:pPr>
            <w:r>
              <w:rPr>
                <w:sz w:val="20"/>
                <w:szCs w:val="20"/>
              </w:rPr>
              <w:t>4/6/2018</w:t>
            </w:r>
          </w:p>
        </w:tc>
      </w:tr>
      <w:tr w:rsidR="00A96006" w:rsidRPr="001969DA" w14:paraId="70439715" w14:textId="77777777" w:rsidTr="00C25AB9">
        <w:tc>
          <w:tcPr>
            <w:tcW w:w="6333" w:type="dxa"/>
          </w:tcPr>
          <w:p w14:paraId="4C8C7AA7" w14:textId="77777777" w:rsidR="00A96006" w:rsidRDefault="00A96006" w:rsidP="00C25AB9">
            <w:pPr>
              <w:spacing w:before="60" w:after="60"/>
              <w:rPr>
                <w:sz w:val="20"/>
                <w:szCs w:val="20"/>
              </w:rPr>
            </w:pPr>
            <w:r>
              <w:rPr>
                <w:sz w:val="20"/>
                <w:szCs w:val="20"/>
              </w:rPr>
              <w:t>Amended by Council</w:t>
            </w:r>
          </w:p>
        </w:tc>
        <w:tc>
          <w:tcPr>
            <w:tcW w:w="3305" w:type="dxa"/>
          </w:tcPr>
          <w:p w14:paraId="444A44F0" w14:textId="29AF5CC0" w:rsidR="00A96006" w:rsidRDefault="00A96006" w:rsidP="00A96006">
            <w:pPr>
              <w:spacing w:before="60" w:after="60"/>
              <w:ind w:left="0"/>
              <w:rPr>
                <w:sz w:val="20"/>
                <w:szCs w:val="20"/>
              </w:rPr>
            </w:pPr>
            <w:r>
              <w:rPr>
                <w:sz w:val="20"/>
                <w:szCs w:val="20"/>
              </w:rPr>
              <w:t>18/6/2018</w:t>
            </w:r>
          </w:p>
        </w:tc>
      </w:tr>
      <w:tr w:rsidR="00E059D3" w:rsidRPr="00B3372C" w14:paraId="55899F5C" w14:textId="77777777" w:rsidTr="00446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333" w:type="dxa"/>
            <w:tcBorders>
              <w:top w:val="single" w:sz="4" w:space="0" w:color="auto"/>
              <w:left w:val="nil"/>
              <w:bottom w:val="single" w:sz="4" w:space="0" w:color="auto"/>
              <w:right w:val="nil"/>
            </w:tcBorders>
          </w:tcPr>
          <w:p w14:paraId="53291DFE" w14:textId="77777777" w:rsidR="00E059D3" w:rsidRPr="004E4123" w:rsidRDefault="00E059D3" w:rsidP="00E059D3">
            <w:pPr>
              <w:spacing w:before="60" w:after="60"/>
              <w:ind w:left="0"/>
              <w:rPr>
                <w:b/>
                <w:sz w:val="20"/>
                <w:szCs w:val="20"/>
              </w:rPr>
            </w:pPr>
            <w:r>
              <w:rPr>
                <w:b/>
                <w:sz w:val="20"/>
                <w:szCs w:val="20"/>
              </w:rPr>
              <w:t>Next Review Date:</w:t>
            </w:r>
          </w:p>
        </w:tc>
        <w:tc>
          <w:tcPr>
            <w:tcW w:w="3305" w:type="dxa"/>
            <w:tcBorders>
              <w:top w:val="single" w:sz="4" w:space="0" w:color="auto"/>
              <w:left w:val="nil"/>
              <w:bottom w:val="single" w:sz="4" w:space="0" w:color="auto"/>
              <w:right w:val="nil"/>
            </w:tcBorders>
          </w:tcPr>
          <w:p w14:paraId="6B707D73" w14:textId="1804B8D3" w:rsidR="00E059D3" w:rsidRPr="00B3372C" w:rsidRDefault="00A96006" w:rsidP="00E059D3">
            <w:pPr>
              <w:spacing w:before="60" w:after="60"/>
              <w:ind w:left="34"/>
              <w:rPr>
                <w:sz w:val="20"/>
                <w:szCs w:val="20"/>
              </w:rPr>
            </w:pPr>
            <w:r>
              <w:rPr>
                <w:sz w:val="20"/>
                <w:szCs w:val="20"/>
              </w:rPr>
              <w:t>July</w:t>
            </w:r>
            <w:r w:rsidR="00E35BE6">
              <w:rPr>
                <w:sz w:val="20"/>
                <w:szCs w:val="20"/>
              </w:rPr>
              <w:t xml:space="preserve"> 2018</w:t>
            </w:r>
          </w:p>
        </w:tc>
      </w:tr>
    </w:tbl>
    <w:p w14:paraId="1BB36C8F" w14:textId="77777777" w:rsidR="00262D10" w:rsidRDefault="00262D10">
      <w:pPr>
        <w:spacing w:after="200" w:line="276" w:lineRule="auto"/>
        <w:ind w:left="0"/>
      </w:pPr>
    </w:p>
    <w:sectPr w:rsidR="00262D10" w:rsidSect="005A5340">
      <w:headerReference w:type="even" r:id="rId8"/>
      <w:headerReference w:type="default" r:id="rId9"/>
      <w:footerReference w:type="even" r:id="rId10"/>
      <w:footerReference w:type="default" r:id="rId11"/>
      <w:headerReference w:type="first" r:id="rId12"/>
      <w:footerReference w:type="first" r:id="rId13"/>
      <w:pgSz w:w="11906" w:h="16838" w:code="9"/>
      <w:pgMar w:top="1985" w:right="1134" w:bottom="1418" w:left="1134"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1F2EC" w14:textId="77777777" w:rsidR="001123B2" w:rsidRDefault="001123B2" w:rsidP="004B2E4E">
      <w:pPr>
        <w:spacing w:after="0"/>
      </w:pPr>
      <w:r>
        <w:separator/>
      </w:r>
    </w:p>
  </w:endnote>
  <w:endnote w:type="continuationSeparator" w:id="0">
    <w:p w14:paraId="3F945EED" w14:textId="77777777" w:rsidR="001123B2" w:rsidRDefault="001123B2" w:rsidP="004B2E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C9E76" w14:textId="77777777" w:rsidR="00293AD7" w:rsidRDefault="00293A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1CED4" w14:textId="77777777" w:rsidR="003D57CE" w:rsidRPr="00700462" w:rsidRDefault="003D57CE" w:rsidP="00C92435">
    <w:pPr>
      <w:pStyle w:val="Footer"/>
      <w:tabs>
        <w:tab w:val="clear" w:pos="4513"/>
        <w:tab w:val="clear" w:pos="9026"/>
        <w:tab w:val="center" w:pos="4536"/>
        <w:tab w:val="right" w:pos="10205"/>
      </w:tabs>
      <w:spacing w:before="240"/>
      <w:ind w:left="-567" w:right="-567"/>
      <w:rPr>
        <w:sz w:val="16"/>
        <w:szCs w:val="16"/>
      </w:rPr>
    </w:pPr>
    <w:r w:rsidRPr="00700462">
      <w:rPr>
        <w:noProof/>
        <w:sz w:val="16"/>
        <w:szCs w:val="16"/>
        <w:lang w:eastAsia="en-AU"/>
      </w:rPr>
      <w:t xml:space="preserve"> </w:t>
    </w:r>
    <w:hyperlink r:id="rId1" w:history="1">
      <w:r w:rsidRPr="001D5AA9">
        <w:rPr>
          <w:rStyle w:val="Hyperlink"/>
          <w:noProof/>
          <w:sz w:val="16"/>
          <w:szCs w:val="16"/>
          <w:lang w:eastAsia="en-AU"/>
        </w:rPr>
        <w:t>www.hobartcity.com.au</w:t>
      </w:r>
    </w:hyperlink>
    <w:r w:rsidRPr="00700462">
      <w:rPr>
        <w:noProof/>
        <w:sz w:val="16"/>
        <w:szCs w:val="16"/>
        <w:lang w:eastAsia="en-AU"/>
      </w:rPr>
      <w:tab/>
    </w:r>
    <w:r w:rsidRPr="00C92435">
      <w:rPr>
        <w:noProof/>
        <w:sz w:val="18"/>
        <w:szCs w:val="18"/>
        <w:lang w:eastAsia="en-AU"/>
      </w:rPr>
      <w:t xml:space="preserve">Page </w:t>
    </w:r>
    <w:r w:rsidR="00025353" w:rsidRPr="00C92435">
      <w:rPr>
        <w:noProof/>
        <w:sz w:val="18"/>
        <w:szCs w:val="18"/>
        <w:lang w:eastAsia="en-AU"/>
      </w:rPr>
      <w:fldChar w:fldCharType="begin"/>
    </w:r>
    <w:r w:rsidRPr="00C92435">
      <w:rPr>
        <w:noProof/>
        <w:sz w:val="18"/>
        <w:szCs w:val="18"/>
        <w:lang w:eastAsia="en-AU"/>
      </w:rPr>
      <w:instrText xml:space="preserve"> PAGE  \* Arabic  \* MERGEFORMAT </w:instrText>
    </w:r>
    <w:r w:rsidR="00025353" w:rsidRPr="00C92435">
      <w:rPr>
        <w:noProof/>
        <w:sz w:val="18"/>
        <w:szCs w:val="18"/>
        <w:lang w:eastAsia="en-AU"/>
      </w:rPr>
      <w:fldChar w:fldCharType="separate"/>
    </w:r>
    <w:r w:rsidR="001123B2">
      <w:rPr>
        <w:noProof/>
        <w:sz w:val="18"/>
        <w:szCs w:val="18"/>
        <w:lang w:eastAsia="en-AU"/>
      </w:rPr>
      <w:t>1</w:t>
    </w:r>
    <w:r w:rsidR="00025353" w:rsidRPr="00C92435">
      <w:rPr>
        <w:noProof/>
        <w:sz w:val="18"/>
        <w:szCs w:val="18"/>
        <w:lang w:eastAsia="en-AU"/>
      </w:rPr>
      <w:fldChar w:fldCharType="end"/>
    </w:r>
    <w:r w:rsidRPr="00C92435">
      <w:rPr>
        <w:noProof/>
        <w:sz w:val="18"/>
        <w:szCs w:val="18"/>
        <w:lang w:eastAsia="en-AU"/>
      </w:rPr>
      <w:t xml:space="preserve"> of </w:t>
    </w:r>
    <w:fldSimple w:instr=" NUMPAGES  \* Arabic  \* MERGEFORMAT ">
      <w:r w:rsidR="001123B2" w:rsidRPr="001123B2">
        <w:rPr>
          <w:noProof/>
          <w:sz w:val="18"/>
          <w:szCs w:val="18"/>
          <w:lang w:eastAsia="en-AU"/>
        </w:rPr>
        <w:t>1</w:t>
      </w:r>
    </w:fldSimple>
    <w:r>
      <w:rPr>
        <w:noProof/>
        <w:sz w:val="16"/>
        <w:szCs w:val="16"/>
        <w:lang w:eastAsia="en-AU"/>
      </w:rPr>
      <w:tab/>
    </w:r>
    <w:r w:rsidRPr="00700462">
      <w:rPr>
        <w:noProof/>
        <w:sz w:val="16"/>
        <w:szCs w:val="16"/>
        <w:lang w:eastAsia="en-AU"/>
      </w:rPr>
      <w:drawing>
        <wp:inline distT="0" distB="0" distL="0" distR="0" wp14:anchorId="009C3493" wp14:editId="03999F68">
          <wp:extent cx="914400" cy="635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_1inch wide.jpg"/>
                  <pic:cNvPicPr/>
                </pic:nvPicPr>
                <pic:blipFill>
                  <a:blip r:embed="rId2">
                    <a:extLst>
                      <a:ext uri="{28A0092B-C50C-407E-A947-70E740481C1C}">
                        <a14:useLocalDpi xmlns:a14="http://schemas.microsoft.com/office/drawing/2010/main" val="0"/>
                      </a:ext>
                    </a:extLst>
                  </a:blip>
                  <a:stretch>
                    <a:fillRect/>
                  </a:stretch>
                </pic:blipFill>
                <pic:spPr>
                  <a:xfrm>
                    <a:off x="0" y="0"/>
                    <a:ext cx="914400" cy="635508"/>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5DD99" w14:textId="77777777" w:rsidR="003D57CE" w:rsidRPr="00E53C16" w:rsidRDefault="003D57CE" w:rsidP="00E53C16">
    <w:pPr>
      <w:pStyle w:val="Footer"/>
      <w:tabs>
        <w:tab w:val="clear" w:pos="4513"/>
        <w:tab w:val="clear" w:pos="9026"/>
        <w:tab w:val="right" w:pos="10205"/>
      </w:tabs>
      <w:spacing w:before="240"/>
      <w:ind w:left="-567" w:right="-567"/>
      <w:rPr>
        <w:sz w:val="16"/>
        <w:szCs w:val="16"/>
      </w:rPr>
    </w:pPr>
    <w:r w:rsidRPr="00700462">
      <w:rPr>
        <w:noProof/>
        <w:sz w:val="16"/>
        <w:szCs w:val="16"/>
        <w:lang w:eastAsia="en-AU"/>
      </w:rPr>
      <w:t>www.hobartcity.com.au</w:t>
    </w:r>
    <w:r w:rsidRPr="00700462">
      <w:rPr>
        <w:noProof/>
        <w:sz w:val="16"/>
        <w:szCs w:val="16"/>
        <w:lang w:eastAsia="en-AU"/>
      </w:rPr>
      <w:tab/>
    </w:r>
    <w:r w:rsidRPr="00700462">
      <w:rPr>
        <w:noProof/>
        <w:sz w:val="16"/>
        <w:szCs w:val="16"/>
        <w:lang w:eastAsia="en-AU"/>
      </w:rPr>
      <w:drawing>
        <wp:inline distT="0" distB="0" distL="0" distR="0" wp14:anchorId="048F5D99" wp14:editId="0B066C89">
          <wp:extent cx="914400" cy="635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H_1inch wide.jpg"/>
                  <pic:cNvPicPr/>
                </pic:nvPicPr>
                <pic:blipFill>
                  <a:blip r:embed="rId1">
                    <a:extLst>
                      <a:ext uri="{28A0092B-C50C-407E-A947-70E740481C1C}">
                        <a14:useLocalDpi xmlns:a14="http://schemas.microsoft.com/office/drawing/2010/main" val="0"/>
                      </a:ext>
                    </a:extLst>
                  </a:blip>
                  <a:stretch>
                    <a:fillRect/>
                  </a:stretch>
                </pic:blipFill>
                <pic:spPr>
                  <a:xfrm>
                    <a:off x="0" y="0"/>
                    <a:ext cx="914400" cy="6355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5D3A2" w14:textId="77777777" w:rsidR="001123B2" w:rsidRDefault="001123B2" w:rsidP="004B2E4E">
      <w:pPr>
        <w:spacing w:after="0"/>
      </w:pPr>
      <w:r>
        <w:separator/>
      </w:r>
    </w:p>
  </w:footnote>
  <w:footnote w:type="continuationSeparator" w:id="0">
    <w:p w14:paraId="7232DBEE" w14:textId="77777777" w:rsidR="001123B2" w:rsidRDefault="001123B2" w:rsidP="004B2E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8E586" w14:textId="3A1D8D8E" w:rsidR="00293AD7" w:rsidRDefault="00293A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7740B" w14:textId="1ACC545C" w:rsidR="003D57CE" w:rsidRDefault="003D57CE">
    <w:pPr>
      <w:pStyle w:val="Header"/>
    </w:pPr>
    <w:r w:rsidRPr="004B2E4E">
      <w:rPr>
        <w:noProof/>
        <w:lang w:eastAsia="en-AU"/>
      </w:rPr>
      <w:drawing>
        <wp:anchor distT="0" distB="0" distL="114300" distR="114300" simplePos="0" relativeHeight="251656704" behindDoc="1" locked="0" layoutInCell="1" allowOverlap="1" wp14:anchorId="1C09DFF5" wp14:editId="41E17041">
          <wp:simplePos x="0" y="0"/>
          <wp:positionH relativeFrom="page">
            <wp:posOffset>0</wp:posOffset>
          </wp:positionH>
          <wp:positionV relativeFrom="page">
            <wp:posOffset>0</wp:posOffset>
          </wp:positionV>
          <wp:extent cx="7560310" cy="1095375"/>
          <wp:effectExtent l="19050" t="0" r="2850" b="0"/>
          <wp:wrapNone/>
          <wp:docPr id="4" name="Picture 0" descr="Co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header.jpg"/>
                  <pic:cNvPicPr/>
                </pic:nvPicPr>
                <pic:blipFill>
                  <a:blip r:embed="rId1" cstate="print"/>
                  <a:stretch>
                    <a:fillRect/>
                  </a:stretch>
                </pic:blipFill>
                <pic:spPr>
                  <a:xfrm>
                    <a:off x="0" y="0"/>
                    <a:ext cx="7560000" cy="1093437"/>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331D" w14:textId="478E5346" w:rsidR="003D57CE" w:rsidRDefault="003D57CE">
    <w:pPr>
      <w:pStyle w:val="Header"/>
    </w:pPr>
    <w:r w:rsidRPr="004B2E4E">
      <w:rPr>
        <w:noProof/>
        <w:lang w:eastAsia="en-AU"/>
      </w:rPr>
      <w:drawing>
        <wp:anchor distT="0" distB="0" distL="114300" distR="114300" simplePos="0" relativeHeight="251657728" behindDoc="1" locked="0" layoutInCell="1" allowOverlap="1" wp14:anchorId="37850E82" wp14:editId="068A5945">
          <wp:simplePos x="0" y="0"/>
          <wp:positionH relativeFrom="page">
            <wp:posOffset>-13335</wp:posOffset>
          </wp:positionH>
          <wp:positionV relativeFrom="page">
            <wp:posOffset>23495</wp:posOffset>
          </wp:positionV>
          <wp:extent cx="7560310" cy="1095375"/>
          <wp:effectExtent l="19050" t="0" r="2850" b="0"/>
          <wp:wrapNone/>
          <wp:docPr id="2" name="Picture 0" descr="CoH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H header.jpg"/>
                  <pic:cNvPicPr/>
                </pic:nvPicPr>
                <pic:blipFill>
                  <a:blip r:embed="rId1" cstate="print"/>
                  <a:stretch>
                    <a:fillRect/>
                  </a:stretch>
                </pic:blipFill>
                <pic:spPr>
                  <a:xfrm>
                    <a:off x="0" y="0"/>
                    <a:ext cx="7560310" cy="10953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4C1"/>
    <w:multiLevelType w:val="hybridMultilevel"/>
    <w:tmpl w:val="D9B6C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E649EE"/>
    <w:multiLevelType w:val="hybridMultilevel"/>
    <w:tmpl w:val="03F63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FEE4DDB"/>
    <w:multiLevelType w:val="hybridMultilevel"/>
    <w:tmpl w:val="E49A9B00"/>
    <w:lvl w:ilvl="0" w:tplc="B16CEDBC">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A7B8A"/>
    <w:multiLevelType w:val="hybridMultilevel"/>
    <w:tmpl w:val="9008FC7C"/>
    <w:lvl w:ilvl="0" w:tplc="60EE05EC">
      <w:start w:val="1"/>
      <w:numFmt w:val="lowerRoman"/>
      <w:pStyle w:val="Heading8"/>
      <w:lvlText w:val="%1."/>
      <w:lvlJc w:val="right"/>
      <w:pPr>
        <w:ind w:left="1854" w:hanging="360"/>
      </w:pPr>
      <w:rPr>
        <w:rFonts w:hint="default"/>
        <w:b w:val="0"/>
        <w:i w:val="0"/>
        <w:sz w:val="24"/>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 w15:restartNumberingAfterBreak="0">
    <w:nsid w:val="1B136279"/>
    <w:multiLevelType w:val="hybridMultilevel"/>
    <w:tmpl w:val="A9CEB51E"/>
    <w:lvl w:ilvl="0" w:tplc="0C090001">
      <w:start w:val="1"/>
      <w:numFmt w:val="bullet"/>
      <w:lvlText w:val=""/>
      <w:lvlJc w:val="left"/>
      <w:pPr>
        <w:ind w:left="1854" w:hanging="360"/>
      </w:pPr>
      <w:rPr>
        <w:rFonts w:ascii="Symbol" w:hAnsi="Symbol" w:hint="default"/>
      </w:rPr>
    </w:lvl>
    <w:lvl w:ilvl="1" w:tplc="18DE4E14">
      <w:start w:val="1"/>
      <w:numFmt w:val="bullet"/>
      <w:lvlText w:val="o"/>
      <w:lvlJc w:val="left"/>
      <w:pPr>
        <w:tabs>
          <w:tab w:val="num" w:pos="2268"/>
        </w:tabs>
        <w:ind w:left="2268" w:hanging="567"/>
      </w:pPr>
      <w:rPr>
        <w:rFonts w:ascii="Courier New" w:hAnsi="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5" w15:restartNumberingAfterBreak="0">
    <w:nsid w:val="37631055"/>
    <w:multiLevelType w:val="hybridMultilevel"/>
    <w:tmpl w:val="7D3E3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53503B"/>
    <w:multiLevelType w:val="hybridMultilevel"/>
    <w:tmpl w:val="77A8C5C0"/>
    <w:lvl w:ilvl="0" w:tplc="E536EA0C">
      <w:start w:val="1"/>
      <w:numFmt w:val="decimal"/>
      <w:pStyle w:val="Heading7"/>
      <w:lvlText w:val="%1."/>
      <w:lvlJc w:val="left"/>
      <w:pPr>
        <w:ind w:left="1287" w:hanging="360"/>
      </w:pPr>
      <w:rPr>
        <w:rFonts w:ascii="Arial" w:hAnsi="Arial" w:hint="default"/>
        <w:b w:val="0"/>
        <w:i w:val="0"/>
        <w:sz w:val="24"/>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2837075"/>
    <w:multiLevelType w:val="hybridMultilevel"/>
    <w:tmpl w:val="22D22506"/>
    <w:lvl w:ilvl="0" w:tplc="8318BCFC">
      <w:start w:val="1"/>
      <w:numFmt w:val="decimal"/>
      <w:pStyle w:val="Heading6"/>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66231211"/>
    <w:multiLevelType w:val="hybridMultilevel"/>
    <w:tmpl w:val="98F6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D13F9A"/>
    <w:multiLevelType w:val="hybridMultilevel"/>
    <w:tmpl w:val="51EC1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282BD6"/>
    <w:multiLevelType w:val="hybridMultilevel"/>
    <w:tmpl w:val="9BC2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9"/>
  </w:num>
  <w:num w:numId="6">
    <w:abstractNumId w:val="0"/>
  </w:num>
  <w:num w:numId="7">
    <w:abstractNumId w:val="1"/>
  </w:num>
  <w:num w:numId="8">
    <w:abstractNumId w:val="10"/>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7"/>
    <w:rsid w:val="00012FDD"/>
    <w:rsid w:val="00025353"/>
    <w:rsid w:val="00077016"/>
    <w:rsid w:val="000911D8"/>
    <w:rsid w:val="000B039F"/>
    <w:rsid w:val="000C3D02"/>
    <w:rsid w:val="000D46DE"/>
    <w:rsid w:val="00102E0A"/>
    <w:rsid w:val="001110FD"/>
    <w:rsid w:val="001123B2"/>
    <w:rsid w:val="00132BBC"/>
    <w:rsid w:val="00132F07"/>
    <w:rsid w:val="00174CF3"/>
    <w:rsid w:val="001759B0"/>
    <w:rsid w:val="00184B7F"/>
    <w:rsid w:val="001904A7"/>
    <w:rsid w:val="00191667"/>
    <w:rsid w:val="001969DA"/>
    <w:rsid w:val="001A046C"/>
    <w:rsid w:val="001A1998"/>
    <w:rsid w:val="001A5D3B"/>
    <w:rsid w:val="001A7501"/>
    <w:rsid w:val="001F74D9"/>
    <w:rsid w:val="002560A3"/>
    <w:rsid w:val="00262D10"/>
    <w:rsid w:val="00293AD7"/>
    <w:rsid w:val="002B1393"/>
    <w:rsid w:val="002B5F18"/>
    <w:rsid w:val="002C24DF"/>
    <w:rsid w:val="002E02C7"/>
    <w:rsid w:val="00322A63"/>
    <w:rsid w:val="00371C80"/>
    <w:rsid w:val="00375B1D"/>
    <w:rsid w:val="00393C68"/>
    <w:rsid w:val="003B486F"/>
    <w:rsid w:val="003B53CF"/>
    <w:rsid w:val="003D3338"/>
    <w:rsid w:val="003D57CE"/>
    <w:rsid w:val="003D5A1A"/>
    <w:rsid w:val="00400866"/>
    <w:rsid w:val="00403FA8"/>
    <w:rsid w:val="004238E9"/>
    <w:rsid w:val="0042465E"/>
    <w:rsid w:val="00425C48"/>
    <w:rsid w:val="00446018"/>
    <w:rsid w:val="00460700"/>
    <w:rsid w:val="00467C4F"/>
    <w:rsid w:val="00480CDD"/>
    <w:rsid w:val="00484E11"/>
    <w:rsid w:val="004857C1"/>
    <w:rsid w:val="004A4C9C"/>
    <w:rsid w:val="004B2E4E"/>
    <w:rsid w:val="004B4189"/>
    <w:rsid w:val="004D4401"/>
    <w:rsid w:val="004E39BA"/>
    <w:rsid w:val="004E42B5"/>
    <w:rsid w:val="005126C7"/>
    <w:rsid w:val="00521122"/>
    <w:rsid w:val="00537157"/>
    <w:rsid w:val="00544FA4"/>
    <w:rsid w:val="005513C6"/>
    <w:rsid w:val="0057042D"/>
    <w:rsid w:val="00577CC2"/>
    <w:rsid w:val="0058391C"/>
    <w:rsid w:val="005A5340"/>
    <w:rsid w:val="005B0C39"/>
    <w:rsid w:val="005D0A62"/>
    <w:rsid w:val="005D44DF"/>
    <w:rsid w:val="005D64FA"/>
    <w:rsid w:val="005E31A2"/>
    <w:rsid w:val="005F24EE"/>
    <w:rsid w:val="00626768"/>
    <w:rsid w:val="006333CE"/>
    <w:rsid w:val="00644331"/>
    <w:rsid w:val="006716B5"/>
    <w:rsid w:val="00677296"/>
    <w:rsid w:val="00696673"/>
    <w:rsid w:val="006966B9"/>
    <w:rsid w:val="006D2797"/>
    <w:rsid w:val="006F3F10"/>
    <w:rsid w:val="00700462"/>
    <w:rsid w:val="00744E5D"/>
    <w:rsid w:val="007502A2"/>
    <w:rsid w:val="00753C37"/>
    <w:rsid w:val="0076322B"/>
    <w:rsid w:val="007648CA"/>
    <w:rsid w:val="0077399D"/>
    <w:rsid w:val="007802B3"/>
    <w:rsid w:val="00780DCE"/>
    <w:rsid w:val="00783D92"/>
    <w:rsid w:val="007A7E1A"/>
    <w:rsid w:val="007B32D9"/>
    <w:rsid w:val="007C02E7"/>
    <w:rsid w:val="007C7DDF"/>
    <w:rsid w:val="007F687B"/>
    <w:rsid w:val="007F76CD"/>
    <w:rsid w:val="00800B64"/>
    <w:rsid w:val="00811B00"/>
    <w:rsid w:val="0083641B"/>
    <w:rsid w:val="008537D8"/>
    <w:rsid w:val="00866DC2"/>
    <w:rsid w:val="00891102"/>
    <w:rsid w:val="008C6513"/>
    <w:rsid w:val="008D6857"/>
    <w:rsid w:val="008F2952"/>
    <w:rsid w:val="008F339C"/>
    <w:rsid w:val="008F4F7E"/>
    <w:rsid w:val="008F6116"/>
    <w:rsid w:val="00911766"/>
    <w:rsid w:val="009127CC"/>
    <w:rsid w:val="009144CD"/>
    <w:rsid w:val="00935EB4"/>
    <w:rsid w:val="00936497"/>
    <w:rsid w:val="0094711F"/>
    <w:rsid w:val="0097026D"/>
    <w:rsid w:val="00991FB2"/>
    <w:rsid w:val="00995800"/>
    <w:rsid w:val="009A6860"/>
    <w:rsid w:val="009A7B62"/>
    <w:rsid w:val="009C7F49"/>
    <w:rsid w:val="009D198C"/>
    <w:rsid w:val="009E52F2"/>
    <w:rsid w:val="009F7C0D"/>
    <w:rsid w:val="00A00B4F"/>
    <w:rsid w:val="00A0730B"/>
    <w:rsid w:val="00A44937"/>
    <w:rsid w:val="00A829A2"/>
    <w:rsid w:val="00A87EDB"/>
    <w:rsid w:val="00A96006"/>
    <w:rsid w:val="00A96119"/>
    <w:rsid w:val="00AC1E11"/>
    <w:rsid w:val="00AE1105"/>
    <w:rsid w:val="00AE2B0E"/>
    <w:rsid w:val="00AE3204"/>
    <w:rsid w:val="00B0187D"/>
    <w:rsid w:val="00B12596"/>
    <w:rsid w:val="00B2087F"/>
    <w:rsid w:val="00B262D7"/>
    <w:rsid w:val="00B34862"/>
    <w:rsid w:val="00B54E19"/>
    <w:rsid w:val="00B64C2A"/>
    <w:rsid w:val="00B74E5F"/>
    <w:rsid w:val="00B751B8"/>
    <w:rsid w:val="00B81F3E"/>
    <w:rsid w:val="00B82FD9"/>
    <w:rsid w:val="00B926D9"/>
    <w:rsid w:val="00BA7C46"/>
    <w:rsid w:val="00BB08AA"/>
    <w:rsid w:val="00BC06BD"/>
    <w:rsid w:val="00BD46EB"/>
    <w:rsid w:val="00BE171A"/>
    <w:rsid w:val="00C264C7"/>
    <w:rsid w:val="00C46B21"/>
    <w:rsid w:val="00C51D0F"/>
    <w:rsid w:val="00C52048"/>
    <w:rsid w:val="00C5308D"/>
    <w:rsid w:val="00C545BB"/>
    <w:rsid w:val="00C54A6C"/>
    <w:rsid w:val="00C561FB"/>
    <w:rsid w:val="00C57652"/>
    <w:rsid w:val="00C60DFD"/>
    <w:rsid w:val="00C82C1F"/>
    <w:rsid w:val="00C87030"/>
    <w:rsid w:val="00C92435"/>
    <w:rsid w:val="00CD571A"/>
    <w:rsid w:val="00CE15D9"/>
    <w:rsid w:val="00CE5EAA"/>
    <w:rsid w:val="00CF0893"/>
    <w:rsid w:val="00CF2ABB"/>
    <w:rsid w:val="00CF47C2"/>
    <w:rsid w:val="00D04F6F"/>
    <w:rsid w:val="00D35F15"/>
    <w:rsid w:val="00D36A8C"/>
    <w:rsid w:val="00D43309"/>
    <w:rsid w:val="00D54B75"/>
    <w:rsid w:val="00D7287E"/>
    <w:rsid w:val="00D8731B"/>
    <w:rsid w:val="00DA0F28"/>
    <w:rsid w:val="00DA44AA"/>
    <w:rsid w:val="00DA5A4B"/>
    <w:rsid w:val="00DC15E8"/>
    <w:rsid w:val="00DE1F98"/>
    <w:rsid w:val="00DE2F9B"/>
    <w:rsid w:val="00DF06F7"/>
    <w:rsid w:val="00DF2AA9"/>
    <w:rsid w:val="00E00525"/>
    <w:rsid w:val="00E059D3"/>
    <w:rsid w:val="00E1389C"/>
    <w:rsid w:val="00E26D54"/>
    <w:rsid w:val="00E35554"/>
    <w:rsid w:val="00E35BE6"/>
    <w:rsid w:val="00E51945"/>
    <w:rsid w:val="00E53C16"/>
    <w:rsid w:val="00E67A20"/>
    <w:rsid w:val="00E81BA3"/>
    <w:rsid w:val="00E92620"/>
    <w:rsid w:val="00EB49F5"/>
    <w:rsid w:val="00EB7945"/>
    <w:rsid w:val="00EC67B5"/>
    <w:rsid w:val="00ED0AA0"/>
    <w:rsid w:val="00ED0D01"/>
    <w:rsid w:val="00ED18B4"/>
    <w:rsid w:val="00EE2C95"/>
    <w:rsid w:val="00EE5734"/>
    <w:rsid w:val="00F1727C"/>
    <w:rsid w:val="00F32B9B"/>
    <w:rsid w:val="00F37410"/>
    <w:rsid w:val="00F411B0"/>
    <w:rsid w:val="00F5022C"/>
    <w:rsid w:val="00F731D9"/>
    <w:rsid w:val="00FA2E8C"/>
    <w:rsid w:val="00FA2F43"/>
    <w:rsid w:val="00FB030E"/>
    <w:rsid w:val="00FC4E19"/>
    <w:rsid w:val="00FD260C"/>
    <w:rsid w:val="00FF030F"/>
    <w:rsid w:val="00FF2D64"/>
    <w:rsid w:val="00FF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8C0B"/>
  <w15:docId w15:val="{4009543A-C01E-4B7E-861D-468F26E1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68"/>
    <w:pPr>
      <w:spacing w:after="240" w:line="240" w:lineRule="auto"/>
      <w:ind w:left="567"/>
    </w:pPr>
    <w:rPr>
      <w:rFonts w:ascii="Arial" w:hAnsi="Arial"/>
      <w:sz w:val="24"/>
    </w:rPr>
  </w:style>
  <w:style w:type="paragraph" w:styleId="Heading1">
    <w:name w:val="heading 1"/>
    <w:basedOn w:val="Normal"/>
    <w:next w:val="Normal"/>
    <w:link w:val="Heading1Char"/>
    <w:uiPriority w:val="9"/>
    <w:qFormat/>
    <w:rsid w:val="006333CE"/>
    <w:pPr>
      <w:keepNext/>
      <w:keepLines/>
      <w:spacing w:after="0"/>
      <w:ind w:left="0"/>
      <w:outlineLvl w:val="0"/>
    </w:pPr>
    <w:rPr>
      <w:rFonts w:eastAsiaTheme="majorEastAsia" w:cstheme="majorBidi"/>
      <w:bCs/>
      <w:sz w:val="36"/>
      <w:szCs w:val="28"/>
    </w:rPr>
  </w:style>
  <w:style w:type="paragraph" w:styleId="Heading2">
    <w:name w:val="heading 2"/>
    <w:basedOn w:val="Normal"/>
    <w:next w:val="Normal"/>
    <w:link w:val="Heading2Char"/>
    <w:uiPriority w:val="9"/>
    <w:unhideWhenUsed/>
    <w:qFormat/>
    <w:rsid w:val="00626768"/>
    <w:pPr>
      <w:pBdr>
        <w:bottom w:val="single" w:sz="4" w:space="1" w:color="auto"/>
      </w:pBdr>
      <w:spacing w:after="0"/>
      <w:ind w:left="0"/>
      <w:outlineLvl w:val="1"/>
    </w:pPr>
    <w:rPr>
      <w:rFonts w:eastAsiaTheme="majorEastAsia" w:cstheme="majorBidi"/>
      <w:b/>
      <w:bCs/>
      <w:sz w:val="72"/>
      <w:szCs w:val="26"/>
    </w:rPr>
  </w:style>
  <w:style w:type="paragraph" w:styleId="Heading3">
    <w:name w:val="heading 3"/>
    <w:basedOn w:val="Normal"/>
    <w:next w:val="Normal"/>
    <w:link w:val="Heading3Char"/>
    <w:uiPriority w:val="9"/>
    <w:unhideWhenUsed/>
    <w:qFormat/>
    <w:rsid w:val="00626768"/>
    <w:pPr>
      <w:spacing w:after="0"/>
      <w:ind w:left="0"/>
      <w:outlineLvl w:val="2"/>
    </w:pPr>
    <w:rPr>
      <w:rFonts w:eastAsiaTheme="majorEastAsia" w:cstheme="majorBidi"/>
      <w:b/>
      <w:bCs/>
      <w:sz w:val="32"/>
    </w:rPr>
  </w:style>
  <w:style w:type="paragraph" w:styleId="Heading4">
    <w:name w:val="heading 4"/>
    <w:basedOn w:val="Normal"/>
    <w:next w:val="Normal"/>
    <w:link w:val="Heading4Char"/>
    <w:uiPriority w:val="9"/>
    <w:unhideWhenUsed/>
    <w:qFormat/>
    <w:rsid w:val="00C92435"/>
    <w:pPr>
      <w:spacing w:after="0"/>
      <w:ind w:left="0"/>
      <w:outlineLvl w:val="3"/>
    </w:pPr>
    <w:rPr>
      <w:rFonts w:eastAsiaTheme="majorEastAsia" w:cstheme="majorBidi"/>
      <w:b/>
      <w:bCs/>
      <w:iCs/>
      <w:color w:val="399AB5"/>
      <w:sz w:val="32"/>
    </w:rPr>
  </w:style>
  <w:style w:type="paragraph" w:styleId="Heading5">
    <w:name w:val="heading 5"/>
    <w:basedOn w:val="Normal"/>
    <w:next w:val="Normal"/>
    <w:link w:val="Heading5Char"/>
    <w:uiPriority w:val="9"/>
    <w:unhideWhenUsed/>
    <w:qFormat/>
    <w:rsid w:val="00626768"/>
    <w:pPr>
      <w:pBdr>
        <w:bottom w:val="single" w:sz="4" w:space="1" w:color="auto"/>
      </w:pBdr>
      <w:tabs>
        <w:tab w:val="left" w:pos="3402"/>
      </w:tabs>
      <w:spacing w:after="0"/>
      <w:ind w:left="0"/>
      <w:outlineLvl w:val="4"/>
    </w:pPr>
    <w:rPr>
      <w:rFonts w:eastAsiaTheme="majorEastAsia" w:cstheme="majorBidi"/>
      <w:sz w:val="32"/>
    </w:rPr>
  </w:style>
  <w:style w:type="paragraph" w:styleId="Heading6">
    <w:name w:val="heading 6"/>
    <w:basedOn w:val="Normal"/>
    <w:next w:val="Normal"/>
    <w:link w:val="Heading6Char"/>
    <w:uiPriority w:val="9"/>
    <w:unhideWhenUsed/>
    <w:qFormat/>
    <w:rsid w:val="00744E5D"/>
    <w:pPr>
      <w:numPr>
        <w:numId w:val="1"/>
      </w:numPr>
      <w:ind w:left="567" w:hanging="567"/>
      <w:outlineLvl w:val="5"/>
    </w:pPr>
    <w:rPr>
      <w:rFonts w:eastAsiaTheme="majorEastAsia" w:cstheme="majorBidi"/>
      <w:b/>
      <w:iCs/>
      <w:sz w:val="32"/>
    </w:rPr>
  </w:style>
  <w:style w:type="paragraph" w:styleId="Heading7">
    <w:name w:val="heading 7"/>
    <w:basedOn w:val="Normal"/>
    <w:next w:val="Normal"/>
    <w:link w:val="Heading7Char"/>
    <w:uiPriority w:val="9"/>
    <w:unhideWhenUsed/>
    <w:qFormat/>
    <w:rsid w:val="00626768"/>
    <w:pPr>
      <w:numPr>
        <w:numId w:val="2"/>
      </w:numPr>
      <w:tabs>
        <w:tab w:val="left" w:pos="2268"/>
      </w:tabs>
      <w:ind w:left="1134" w:hanging="567"/>
      <w:outlineLvl w:val="6"/>
    </w:pPr>
    <w:rPr>
      <w:rFonts w:eastAsiaTheme="majorEastAsia" w:cstheme="majorBidi"/>
      <w:iCs/>
    </w:rPr>
  </w:style>
  <w:style w:type="paragraph" w:styleId="Heading8">
    <w:name w:val="heading 8"/>
    <w:basedOn w:val="Normal"/>
    <w:next w:val="Normal"/>
    <w:link w:val="Heading8Char"/>
    <w:uiPriority w:val="9"/>
    <w:unhideWhenUsed/>
    <w:qFormat/>
    <w:rsid w:val="00400866"/>
    <w:pPr>
      <w:numPr>
        <w:numId w:val="3"/>
      </w:numPr>
      <w:tabs>
        <w:tab w:val="left" w:pos="2268"/>
      </w:tabs>
      <w:outlineLvl w:val="7"/>
    </w:pPr>
    <w:rPr>
      <w:rFonts w:eastAsiaTheme="majorEastAsia" w:cstheme="majorBid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15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5D9"/>
    <w:rPr>
      <w:rFonts w:ascii="Tahoma" w:hAnsi="Tahoma" w:cs="Tahoma"/>
      <w:sz w:val="16"/>
      <w:szCs w:val="16"/>
    </w:rPr>
  </w:style>
  <w:style w:type="paragraph" w:styleId="Header">
    <w:name w:val="header"/>
    <w:basedOn w:val="Normal"/>
    <w:link w:val="HeaderChar"/>
    <w:uiPriority w:val="99"/>
    <w:unhideWhenUsed/>
    <w:rsid w:val="004B2E4E"/>
    <w:pPr>
      <w:tabs>
        <w:tab w:val="center" w:pos="4513"/>
        <w:tab w:val="right" w:pos="9026"/>
      </w:tabs>
      <w:spacing w:after="0"/>
    </w:pPr>
  </w:style>
  <w:style w:type="character" w:customStyle="1" w:styleId="HeaderChar">
    <w:name w:val="Header Char"/>
    <w:basedOn w:val="DefaultParagraphFont"/>
    <w:link w:val="Header"/>
    <w:uiPriority w:val="99"/>
    <w:rsid w:val="004B2E4E"/>
  </w:style>
  <w:style w:type="paragraph" w:styleId="Footer">
    <w:name w:val="footer"/>
    <w:basedOn w:val="Normal"/>
    <w:link w:val="FooterChar"/>
    <w:uiPriority w:val="99"/>
    <w:unhideWhenUsed/>
    <w:rsid w:val="004B2E4E"/>
    <w:pPr>
      <w:tabs>
        <w:tab w:val="center" w:pos="4513"/>
        <w:tab w:val="right" w:pos="9026"/>
      </w:tabs>
      <w:spacing w:after="0"/>
    </w:pPr>
  </w:style>
  <w:style w:type="character" w:customStyle="1" w:styleId="FooterChar">
    <w:name w:val="Footer Char"/>
    <w:basedOn w:val="DefaultParagraphFont"/>
    <w:link w:val="Footer"/>
    <w:uiPriority w:val="99"/>
    <w:rsid w:val="004B2E4E"/>
  </w:style>
  <w:style w:type="character" w:styleId="Hyperlink">
    <w:name w:val="Hyperlink"/>
    <w:basedOn w:val="DefaultParagraphFont"/>
    <w:unhideWhenUsed/>
    <w:rsid w:val="004B2E4E"/>
    <w:rPr>
      <w:color w:val="0000FF" w:themeColor="hyperlink"/>
      <w:u w:val="single"/>
    </w:rPr>
  </w:style>
  <w:style w:type="character" w:customStyle="1" w:styleId="Heading1Char">
    <w:name w:val="Heading 1 Char"/>
    <w:basedOn w:val="DefaultParagraphFont"/>
    <w:link w:val="Heading1"/>
    <w:uiPriority w:val="9"/>
    <w:rsid w:val="006333CE"/>
    <w:rPr>
      <w:rFonts w:ascii="Arial" w:eastAsiaTheme="majorEastAsia" w:hAnsi="Arial" w:cstheme="majorBidi"/>
      <w:bCs/>
      <w:sz w:val="36"/>
      <w:szCs w:val="28"/>
    </w:rPr>
  </w:style>
  <w:style w:type="character" w:customStyle="1" w:styleId="Heading2Char">
    <w:name w:val="Heading 2 Char"/>
    <w:basedOn w:val="DefaultParagraphFont"/>
    <w:link w:val="Heading2"/>
    <w:uiPriority w:val="9"/>
    <w:rsid w:val="00626768"/>
    <w:rPr>
      <w:rFonts w:ascii="Arial" w:eastAsiaTheme="majorEastAsia" w:hAnsi="Arial" w:cstheme="majorBidi"/>
      <w:b/>
      <w:bCs/>
      <w:sz w:val="72"/>
      <w:szCs w:val="26"/>
    </w:rPr>
  </w:style>
  <w:style w:type="character" w:customStyle="1" w:styleId="Heading3Char">
    <w:name w:val="Heading 3 Char"/>
    <w:basedOn w:val="DefaultParagraphFont"/>
    <w:link w:val="Heading3"/>
    <w:uiPriority w:val="9"/>
    <w:rsid w:val="00626768"/>
    <w:rPr>
      <w:rFonts w:ascii="Arial" w:eastAsiaTheme="majorEastAsia" w:hAnsi="Arial" w:cstheme="majorBidi"/>
      <w:b/>
      <w:bCs/>
      <w:sz w:val="32"/>
    </w:rPr>
  </w:style>
  <w:style w:type="character" w:customStyle="1" w:styleId="Heading4Char">
    <w:name w:val="Heading 4 Char"/>
    <w:basedOn w:val="DefaultParagraphFont"/>
    <w:link w:val="Heading4"/>
    <w:uiPriority w:val="9"/>
    <w:rsid w:val="00C92435"/>
    <w:rPr>
      <w:rFonts w:ascii="Arial" w:eastAsiaTheme="majorEastAsia" w:hAnsi="Arial" w:cstheme="majorBidi"/>
      <w:b/>
      <w:bCs/>
      <w:iCs/>
      <w:color w:val="399AB5"/>
      <w:sz w:val="32"/>
    </w:rPr>
  </w:style>
  <w:style w:type="character" w:customStyle="1" w:styleId="Heading5Char">
    <w:name w:val="Heading 5 Char"/>
    <w:basedOn w:val="DefaultParagraphFont"/>
    <w:link w:val="Heading5"/>
    <w:uiPriority w:val="9"/>
    <w:rsid w:val="00626768"/>
    <w:rPr>
      <w:rFonts w:ascii="Arial" w:eastAsiaTheme="majorEastAsia" w:hAnsi="Arial" w:cstheme="majorBidi"/>
      <w:sz w:val="32"/>
    </w:rPr>
  </w:style>
  <w:style w:type="character" w:customStyle="1" w:styleId="Heading6Char">
    <w:name w:val="Heading 6 Char"/>
    <w:basedOn w:val="DefaultParagraphFont"/>
    <w:link w:val="Heading6"/>
    <w:uiPriority w:val="9"/>
    <w:rsid w:val="00744E5D"/>
    <w:rPr>
      <w:rFonts w:ascii="Arial" w:eastAsiaTheme="majorEastAsia" w:hAnsi="Arial" w:cstheme="majorBidi"/>
      <w:b/>
      <w:iCs/>
      <w:sz w:val="32"/>
    </w:rPr>
  </w:style>
  <w:style w:type="character" w:customStyle="1" w:styleId="Heading7Char">
    <w:name w:val="Heading 7 Char"/>
    <w:basedOn w:val="DefaultParagraphFont"/>
    <w:link w:val="Heading7"/>
    <w:uiPriority w:val="9"/>
    <w:rsid w:val="00626768"/>
    <w:rPr>
      <w:rFonts w:ascii="Arial" w:eastAsiaTheme="majorEastAsia" w:hAnsi="Arial" w:cstheme="majorBidi"/>
      <w:iCs/>
      <w:sz w:val="24"/>
    </w:rPr>
  </w:style>
  <w:style w:type="character" w:customStyle="1" w:styleId="Heading8Char">
    <w:name w:val="Heading 8 Char"/>
    <w:basedOn w:val="DefaultParagraphFont"/>
    <w:link w:val="Heading8"/>
    <w:uiPriority w:val="9"/>
    <w:rsid w:val="00400866"/>
    <w:rPr>
      <w:rFonts w:ascii="Arial" w:eastAsiaTheme="majorEastAsia" w:hAnsi="Arial" w:cstheme="majorBidi"/>
      <w:sz w:val="24"/>
      <w:szCs w:val="20"/>
    </w:rPr>
  </w:style>
  <w:style w:type="table" w:styleId="TableGrid">
    <w:name w:val="Table Grid"/>
    <w:basedOn w:val="TableNormal"/>
    <w:uiPriority w:val="59"/>
    <w:rsid w:val="0019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46B21"/>
    <w:pPr>
      <w:spacing w:before="100" w:beforeAutospacing="1" w:after="100" w:afterAutospacing="1"/>
      <w:ind w:left="0"/>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46B21"/>
    <w:rPr>
      <w:color w:val="800080" w:themeColor="followedHyperlink"/>
      <w:u w:val="single"/>
    </w:rPr>
  </w:style>
  <w:style w:type="paragraph" w:styleId="ListParagraph">
    <w:name w:val="List Paragraph"/>
    <w:basedOn w:val="Normal"/>
    <w:uiPriority w:val="34"/>
    <w:qFormat/>
    <w:rsid w:val="00911766"/>
    <w:pPr>
      <w:ind w:left="720"/>
      <w:contextualSpacing/>
    </w:pPr>
  </w:style>
  <w:style w:type="character" w:styleId="CommentReference">
    <w:name w:val="annotation reference"/>
    <w:basedOn w:val="DefaultParagraphFont"/>
    <w:uiPriority w:val="99"/>
    <w:semiHidden/>
    <w:unhideWhenUsed/>
    <w:rsid w:val="00403FA8"/>
    <w:rPr>
      <w:sz w:val="16"/>
      <w:szCs w:val="16"/>
    </w:rPr>
  </w:style>
  <w:style w:type="paragraph" w:styleId="CommentText">
    <w:name w:val="annotation text"/>
    <w:basedOn w:val="Normal"/>
    <w:link w:val="CommentTextChar"/>
    <w:uiPriority w:val="99"/>
    <w:semiHidden/>
    <w:unhideWhenUsed/>
    <w:rsid w:val="00403FA8"/>
    <w:rPr>
      <w:sz w:val="20"/>
      <w:szCs w:val="20"/>
    </w:rPr>
  </w:style>
  <w:style w:type="character" w:customStyle="1" w:styleId="CommentTextChar">
    <w:name w:val="Comment Text Char"/>
    <w:basedOn w:val="DefaultParagraphFont"/>
    <w:link w:val="CommentText"/>
    <w:uiPriority w:val="99"/>
    <w:semiHidden/>
    <w:rsid w:val="00403FA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03FA8"/>
    <w:rPr>
      <w:b/>
      <w:bCs/>
    </w:rPr>
  </w:style>
  <w:style w:type="character" w:customStyle="1" w:styleId="CommentSubjectChar">
    <w:name w:val="Comment Subject Char"/>
    <w:basedOn w:val="CommentTextChar"/>
    <w:link w:val="CommentSubject"/>
    <w:uiPriority w:val="99"/>
    <w:semiHidden/>
    <w:rsid w:val="00403FA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hobartcity.com.au"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C6113B-5194-46EB-AB46-294A7B15B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50C4C8FB</Template>
  <TotalTime>0</TotalTime>
  <Pages>7</Pages>
  <Words>1478</Words>
  <Characters>8426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Hobart City Council</Company>
  <LinksUpToDate>false</LinksUpToDate>
  <CharactersWithSpaces>9885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Davis</dc:creator>
  <cp:lastModifiedBy>Burdick, Grace</cp:lastModifiedBy>
  <cp:revision>2</cp:revision>
  <cp:lastPrinted>2016-05-06T05:05:00Z</cp:lastPrinted>
  <dcterms:created xsi:type="dcterms:W3CDTF">2018-07-19T04:42:00Z</dcterms:created>
  <dcterms:modified xsi:type="dcterms:W3CDTF">2018-07-19T04:42:00Z</dcterms:modified>
</cp:coreProperties>
</file>